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F21" w:rsidRDefault="00EC217C">
      <w:pPr>
        <w:rPr>
          <w:rFonts w:ascii="Cambria-Bold" w:hAnsi="Cambria-Bold" w:cs="Cambria-Bold"/>
          <w:b/>
          <w:bCs/>
          <w:sz w:val="32"/>
          <w:szCs w:val="32"/>
        </w:rPr>
      </w:pPr>
      <w:r w:rsidRPr="003F5C09">
        <w:rPr>
          <w:rFonts w:ascii="Cambria-Bold" w:hAnsi="Cambria-Bold" w:cs="Cambria-Bold"/>
          <w:b/>
          <w:bCs/>
          <w:sz w:val="32"/>
          <w:szCs w:val="32"/>
        </w:rPr>
        <w:t>Context</w:t>
      </w:r>
    </w:p>
    <w:p w:rsidR="00F75F2E" w:rsidRDefault="00F75F2E" w:rsidP="00F75F2E">
      <w:pPr>
        <w:autoSpaceDE w:val="0"/>
        <w:autoSpaceDN w:val="0"/>
        <w:adjustRightInd w:val="0"/>
        <w:spacing w:after="0" w:line="240" w:lineRule="auto"/>
      </w:pPr>
      <w:r>
        <w:t xml:space="preserve">A Canonical Object Extension </w:t>
      </w:r>
      <w:r w:rsidR="005A4070">
        <w:t xml:space="preserve">is </w:t>
      </w:r>
      <w:r w:rsidR="00633F21">
        <w:t>Unity Container Extension</w:t>
      </w:r>
      <w:r w:rsidR="003F5C09">
        <w:t xml:space="preserve"> developed by Unity </w:t>
      </w:r>
      <w:r w:rsidR="0006283D">
        <w:t>Contributions</w:t>
      </w:r>
      <w:r w:rsidR="003F5C09">
        <w:t xml:space="preserve">. </w:t>
      </w:r>
      <w:r>
        <w:t xml:space="preserve">This extension </w:t>
      </w:r>
      <w:r w:rsidR="003F5C09">
        <w:t xml:space="preserve">enables </w:t>
      </w:r>
      <w:r w:rsidR="00AB3621">
        <w:t xml:space="preserve">at runtime </w:t>
      </w:r>
      <w:r w:rsidR="00633F21">
        <w:t xml:space="preserve">to </w:t>
      </w:r>
      <w:r w:rsidR="005A4070">
        <w:t xml:space="preserve">configure and resolve </w:t>
      </w:r>
      <w:r w:rsidR="003F5C09">
        <w:t>a</w:t>
      </w:r>
      <w:r w:rsidR="005A4070">
        <w:t xml:space="preserve"> canonical object </w:t>
      </w:r>
      <w:r w:rsidR="00633F21">
        <w:t xml:space="preserve">derived from </w:t>
      </w:r>
      <w:r w:rsidR="005A4070">
        <w:t xml:space="preserve">collection of </w:t>
      </w:r>
      <w:r w:rsidR="003F5C09">
        <w:t xml:space="preserve">domain specific </w:t>
      </w:r>
      <w:r w:rsidR="005A4070">
        <w:t xml:space="preserve">objects. </w:t>
      </w:r>
      <w:r>
        <w:t>In this context, a canonical object is a single representative object derived from closely related domain specific objects.</w:t>
      </w:r>
    </w:p>
    <w:p w:rsidR="00F75F2E" w:rsidRDefault="00F75F2E" w:rsidP="00F75F2E">
      <w:pPr>
        <w:autoSpaceDE w:val="0"/>
        <w:autoSpaceDN w:val="0"/>
        <w:adjustRightInd w:val="0"/>
        <w:spacing w:after="0" w:line="240" w:lineRule="auto"/>
      </w:pPr>
    </w:p>
    <w:p w:rsidR="00B56AE6" w:rsidRPr="003F5C09" w:rsidRDefault="00B56AE6" w:rsidP="003F5C09">
      <w:pPr>
        <w:rPr>
          <w:rFonts w:ascii="Cambria-Bold" w:hAnsi="Cambria-Bold" w:cs="Cambria-Bold"/>
          <w:b/>
          <w:bCs/>
          <w:sz w:val="32"/>
          <w:szCs w:val="32"/>
        </w:rPr>
      </w:pPr>
      <w:r w:rsidRPr="003F5C09">
        <w:rPr>
          <w:rFonts w:ascii="Cambria-Bold" w:hAnsi="Cambria-Bold" w:cs="Cambria-Bold"/>
          <w:b/>
          <w:bCs/>
          <w:sz w:val="32"/>
          <w:szCs w:val="32"/>
        </w:rPr>
        <w:t>Problem</w:t>
      </w:r>
    </w:p>
    <w:p w:rsidR="00F75F2E" w:rsidRDefault="00B56AE6" w:rsidP="005A407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</w:pPr>
      <w:r w:rsidRPr="003F5C09">
        <w:t xml:space="preserve">How </w:t>
      </w:r>
      <w:r w:rsidR="00EC217C" w:rsidRPr="003F5C09">
        <w:t xml:space="preserve">to </w:t>
      </w:r>
      <w:r w:rsidR="00F75F2E">
        <w:t xml:space="preserve">configure, </w:t>
      </w:r>
      <w:r w:rsidR="00EC217C" w:rsidRPr="003F5C09">
        <w:t>resolve</w:t>
      </w:r>
      <w:r w:rsidR="003F5C09">
        <w:t xml:space="preserve"> or construct a </w:t>
      </w:r>
      <w:r w:rsidR="00EC217C" w:rsidRPr="003F5C09">
        <w:t>canonical object</w:t>
      </w:r>
      <w:r w:rsidR="00770BDF">
        <w:t xml:space="preserve"> </w:t>
      </w:r>
      <w:r w:rsidR="00F75F2E">
        <w:t xml:space="preserve">derived from collection of objects </w:t>
      </w:r>
      <w:r w:rsidR="00770BDF">
        <w:t>in Unity container</w:t>
      </w:r>
      <w:r w:rsidR="00F75F2E">
        <w:t>?</w:t>
      </w:r>
      <w:r w:rsidR="00770BDF">
        <w:t xml:space="preserve"> </w:t>
      </w:r>
    </w:p>
    <w:p w:rsidR="005A4070" w:rsidRPr="003F5C09" w:rsidRDefault="00EC217C" w:rsidP="005A407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</w:pPr>
      <w:r w:rsidRPr="003F5C09">
        <w:t xml:space="preserve">How </w:t>
      </w:r>
      <w:r w:rsidR="00F75F2E">
        <w:t xml:space="preserve">to separate </w:t>
      </w:r>
      <w:r w:rsidR="005A4070" w:rsidRPr="003F5C09">
        <w:t xml:space="preserve">domain specific object </w:t>
      </w:r>
      <w:r w:rsidR="00F75F2E">
        <w:t>functionality,</w:t>
      </w:r>
      <w:r w:rsidR="005A4070" w:rsidRPr="003F5C09">
        <w:t xml:space="preserve"> and enable canonical </w:t>
      </w:r>
      <w:r w:rsidR="00770BDF">
        <w:t xml:space="preserve">or single representative </w:t>
      </w:r>
      <w:r w:rsidR="005A4070" w:rsidRPr="003F5C09">
        <w:t>object view of enterprise entity</w:t>
      </w:r>
      <w:r w:rsidR="00770BDF">
        <w:t xml:space="preserve"> such as Customer</w:t>
      </w:r>
      <w:r w:rsidR="005A4070" w:rsidRPr="003F5C09">
        <w:t>?</w:t>
      </w:r>
    </w:p>
    <w:p w:rsidR="005A4070" w:rsidRDefault="005A4070" w:rsidP="00EC217C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1"/>
          <w:szCs w:val="21"/>
        </w:rPr>
      </w:pPr>
      <w:r>
        <w:rPr>
          <w:rFonts w:ascii="Palatino-Roman" w:hAnsi="Palatino-Roman" w:cs="Palatino-Roman"/>
          <w:sz w:val="21"/>
          <w:szCs w:val="21"/>
        </w:rPr>
        <w:t xml:space="preserve"> </w:t>
      </w:r>
    </w:p>
    <w:p w:rsidR="00EC217C" w:rsidRPr="003F5C09" w:rsidRDefault="00EC217C" w:rsidP="003F5C09">
      <w:pPr>
        <w:rPr>
          <w:rFonts w:ascii="Cambria-Bold" w:hAnsi="Cambria-Bold" w:cs="Cambria-Bold"/>
          <w:b/>
          <w:bCs/>
          <w:sz w:val="32"/>
          <w:szCs w:val="32"/>
        </w:rPr>
      </w:pPr>
      <w:r w:rsidRPr="003F5C09">
        <w:rPr>
          <w:rFonts w:ascii="Cambria-Bold" w:hAnsi="Cambria-Bold" w:cs="Cambria-Bold"/>
          <w:b/>
          <w:bCs/>
          <w:sz w:val="32"/>
          <w:szCs w:val="32"/>
        </w:rPr>
        <w:t>Forces</w:t>
      </w:r>
    </w:p>
    <w:p w:rsidR="00EC217C" w:rsidRPr="003F5C09" w:rsidRDefault="0059359D" w:rsidP="003F5C09">
      <w:r>
        <w:t xml:space="preserve">The following forces act on this extension </w:t>
      </w:r>
      <w:r w:rsidR="00EC217C" w:rsidRPr="003F5C09">
        <w:t xml:space="preserve">within </w:t>
      </w:r>
      <w:r w:rsidR="003F5C09">
        <w:t xml:space="preserve">the </w:t>
      </w:r>
      <w:r w:rsidR="00EC217C" w:rsidRPr="003F5C09">
        <w:t xml:space="preserve">context </w:t>
      </w:r>
      <w:r w:rsidR="003F5C09">
        <w:t>above</w:t>
      </w:r>
      <w:r w:rsidR="00EC217C" w:rsidRPr="003F5C09">
        <w:t>:</w:t>
      </w:r>
    </w:p>
    <w:p w:rsidR="0059359D" w:rsidRDefault="00EC217C" w:rsidP="003F5C09">
      <w:pPr>
        <w:pStyle w:val="ListParagraph"/>
        <w:numPr>
          <w:ilvl w:val="0"/>
          <w:numId w:val="6"/>
        </w:numPr>
      </w:pPr>
      <w:r w:rsidRPr="003F5C09">
        <w:t xml:space="preserve">You need to maintain </w:t>
      </w:r>
      <w:r w:rsidR="0059359D">
        <w:t xml:space="preserve">set of </w:t>
      </w:r>
      <w:r w:rsidRPr="003F5C09">
        <w:t>functionality</w:t>
      </w:r>
      <w:r w:rsidR="0059359D">
        <w:t xml:space="preserve"> in each domain specific solution, </w:t>
      </w:r>
      <w:r w:rsidR="00770BDF">
        <w:t xml:space="preserve">and </w:t>
      </w:r>
      <w:r w:rsidRPr="003F5C09">
        <w:t xml:space="preserve">enable the </w:t>
      </w:r>
      <w:r w:rsidR="003F5C09">
        <w:t xml:space="preserve">configurable </w:t>
      </w:r>
      <w:r w:rsidR="0059359D">
        <w:t xml:space="preserve">canonical object view of discreet objects in Unity container. </w:t>
      </w:r>
    </w:p>
    <w:p w:rsidR="00C73E26" w:rsidRPr="003F5C09" w:rsidRDefault="00F75F2E" w:rsidP="003F5C09">
      <w:pPr>
        <w:pStyle w:val="ListParagraph"/>
        <w:numPr>
          <w:ilvl w:val="0"/>
          <w:numId w:val="6"/>
        </w:numPr>
      </w:pPr>
      <w:r>
        <w:t xml:space="preserve">For example, </w:t>
      </w:r>
      <w:r w:rsidRPr="00F75F2E">
        <w:t xml:space="preserve">Commercial-Off-the-Shelf </w:t>
      </w:r>
      <w:r w:rsidR="00770BDF">
        <w:t>(</w:t>
      </w:r>
      <w:r w:rsidR="00C73E26" w:rsidRPr="003F5C09">
        <w:t>COTS</w:t>
      </w:r>
      <w:r w:rsidR="00770BDF">
        <w:t>)</w:t>
      </w:r>
      <w:r w:rsidR="00C73E26" w:rsidRPr="003F5C09">
        <w:t xml:space="preserve"> software</w:t>
      </w:r>
      <w:r>
        <w:t xml:space="preserve"> or component which </w:t>
      </w:r>
      <w:r w:rsidRPr="003F5C09">
        <w:t>offers a certain standard functionality and allow object extensions or modification</w:t>
      </w:r>
      <w:r>
        <w:t>s</w:t>
      </w:r>
      <w:r w:rsidRPr="003F5C09">
        <w:t xml:space="preserve"> to the standard COTS </w:t>
      </w:r>
      <w:r>
        <w:t>canonical object model.</w:t>
      </w:r>
    </w:p>
    <w:p w:rsidR="00EC217C" w:rsidRPr="003F5C09" w:rsidRDefault="00C73E26" w:rsidP="003F5C09">
      <w:pPr>
        <w:pStyle w:val="ListParagraph"/>
        <w:numPr>
          <w:ilvl w:val="0"/>
          <w:numId w:val="6"/>
        </w:numPr>
      </w:pPr>
      <w:r w:rsidRPr="003F5C09">
        <w:t xml:space="preserve">When an enterprise has developed </w:t>
      </w:r>
      <w:r w:rsidR="00F75F2E">
        <w:t xml:space="preserve">component base </w:t>
      </w:r>
      <w:r w:rsidRPr="003F5C09">
        <w:t xml:space="preserve">software </w:t>
      </w:r>
      <w:r w:rsidR="00F75F2E">
        <w:t xml:space="preserve">solutions </w:t>
      </w:r>
      <w:r w:rsidRPr="003F5C09">
        <w:t xml:space="preserve">and requires the single </w:t>
      </w:r>
      <w:r w:rsidR="0059359D">
        <w:t xml:space="preserve">representative </w:t>
      </w:r>
      <w:r w:rsidR="00F75F2E">
        <w:t xml:space="preserve">view of </w:t>
      </w:r>
      <w:r w:rsidRPr="003F5C09">
        <w:t>enterprise domain object</w:t>
      </w:r>
      <w:r w:rsidR="00F75F2E">
        <w:t>s</w:t>
      </w:r>
      <w:r w:rsidR="0059359D">
        <w:t xml:space="preserve"> in Unity container</w:t>
      </w:r>
      <w:r w:rsidR="00F75F2E">
        <w:t xml:space="preserve">. </w:t>
      </w:r>
      <w:r w:rsidRPr="003F5C09">
        <w:t xml:space="preserve"> For example, it’s often common to see </w:t>
      </w:r>
      <w:r w:rsidR="005A4070" w:rsidRPr="003F5C09">
        <w:t xml:space="preserve">enterprise objects or entities </w:t>
      </w:r>
      <w:r w:rsidRPr="003F5C09">
        <w:t xml:space="preserve">to be divided into domain specific </w:t>
      </w:r>
      <w:r w:rsidR="0059359D">
        <w:t xml:space="preserve">solutions </w:t>
      </w:r>
      <w:r w:rsidRPr="003F5C09">
        <w:t>such as CRM Customer and Billing Customer</w:t>
      </w:r>
      <w:r w:rsidR="005A4070" w:rsidRPr="003F5C09">
        <w:t>.</w:t>
      </w:r>
    </w:p>
    <w:p w:rsidR="00583C31" w:rsidRDefault="00633F21">
      <w:pPr>
        <w:rPr>
          <w:rFonts w:ascii="Cambria-Bold" w:hAnsi="Cambria-Bold" w:cs="Cambria-Bold"/>
          <w:b/>
          <w:bCs/>
          <w:sz w:val="32"/>
          <w:szCs w:val="32"/>
        </w:rPr>
      </w:pPr>
      <w:r w:rsidRPr="00633F21">
        <w:rPr>
          <w:rFonts w:ascii="Cambria-Bold" w:hAnsi="Cambria-Bold" w:cs="Cambria-Bold"/>
          <w:b/>
          <w:bCs/>
          <w:sz w:val="32"/>
          <w:szCs w:val="32"/>
        </w:rPr>
        <w:t xml:space="preserve">Benefits </w:t>
      </w:r>
    </w:p>
    <w:p w:rsidR="00BC3224" w:rsidRPr="00BC3224" w:rsidRDefault="00BC3224">
      <w:r w:rsidRPr="00BC3224">
        <w:t xml:space="preserve">Enable to maintain </w:t>
      </w:r>
      <w:r w:rsidR="003F5C09">
        <w:t xml:space="preserve">distinct </w:t>
      </w:r>
      <w:r w:rsidRPr="00BC3224">
        <w:t>domain specific types</w:t>
      </w:r>
      <w:r w:rsidR="0057336F">
        <w:t>/objects</w:t>
      </w:r>
      <w:r w:rsidR="003F5C09">
        <w:t xml:space="preserve"> </w:t>
      </w:r>
      <w:r w:rsidR="00503EC7">
        <w:t xml:space="preserve">and they </w:t>
      </w:r>
      <w:r w:rsidR="003F5C09">
        <w:t>functionality</w:t>
      </w:r>
      <w:r w:rsidR="00503EC7">
        <w:t xml:space="preserve"> separately</w:t>
      </w:r>
      <w:r w:rsidR="00B56AE6">
        <w:t xml:space="preserve">, </w:t>
      </w:r>
      <w:r>
        <w:t>and resolve</w:t>
      </w:r>
      <w:r w:rsidR="003F5C09">
        <w:t xml:space="preserve"> or construct </w:t>
      </w:r>
      <w:r w:rsidR="001A16FF">
        <w:t xml:space="preserve">a </w:t>
      </w:r>
      <w:r w:rsidR="0059359D">
        <w:t xml:space="preserve">canonical object view </w:t>
      </w:r>
      <w:r w:rsidR="001A16FF">
        <w:t xml:space="preserve">derived </w:t>
      </w:r>
      <w:r w:rsidR="00503EC7">
        <w:t xml:space="preserve">from collection of separate </w:t>
      </w:r>
      <w:r w:rsidR="003F5C09">
        <w:t xml:space="preserve">domain specific </w:t>
      </w:r>
      <w:r>
        <w:t>type</w:t>
      </w:r>
      <w:r w:rsidR="0059359D">
        <w:t>s</w:t>
      </w:r>
      <w:r w:rsidR="003F5C09">
        <w:t>/object</w:t>
      </w:r>
      <w:r w:rsidR="0059359D">
        <w:t>s</w:t>
      </w:r>
      <w:r>
        <w:t>.</w:t>
      </w:r>
    </w:p>
    <w:p w:rsidR="00BC3224" w:rsidRPr="00BC3224" w:rsidRDefault="001A16FF">
      <w:pPr>
        <w:rPr>
          <w:rFonts w:ascii="Cambria-Bold" w:hAnsi="Cambria-Bold" w:cs="Cambria-Bold"/>
          <w:b/>
          <w:bCs/>
          <w:sz w:val="32"/>
          <w:szCs w:val="32"/>
        </w:rPr>
      </w:pPr>
      <w:r>
        <w:rPr>
          <w:rFonts w:ascii="Cambria-Bold" w:hAnsi="Cambria-Bold" w:cs="Cambria-Bold"/>
          <w:b/>
          <w:bCs/>
          <w:sz w:val="32"/>
          <w:szCs w:val="32"/>
        </w:rPr>
        <w:t>Typical Scenario</w:t>
      </w:r>
    </w:p>
    <w:p w:rsidR="00AB3621" w:rsidRDefault="00BC3224" w:rsidP="00AB3621">
      <w:r>
        <w:t>DataGrid view can be resolved from several partial types at runtime. In this scenario</w:t>
      </w:r>
      <w:r w:rsidR="00914EBB">
        <w:t>, developer can</w:t>
      </w:r>
      <w:r w:rsidR="00AB3621">
        <w:t xml:space="preserve"> </w:t>
      </w:r>
      <w:r w:rsidR="00914EBB">
        <w:t xml:space="preserve">maintain </w:t>
      </w:r>
      <w:r w:rsidR="00AB3621">
        <w:t xml:space="preserve">the </w:t>
      </w:r>
      <w:r>
        <w:t>separation of partial classes</w:t>
      </w:r>
      <w:r w:rsidR="00914EBB">
        <w:t xml:space="preserve"> in </w:t>
      </w:r>
      <w:r>
        <w:t>domain specific implementations</w:t>
      </w:r>
      <w:r w:rsidR="00AB3621">
        <w:t xml:space="preserve"> and resolve single DataGrid </w:t>
      </w:r>
      <w:r w:rsidR="0059359D">
        <w:t xml:space="preserve">canonical </w:t>
      </w:r>
      <w:r w:rsidR="00AB3621">
        <w:t xml:space="preserve">view object at runtime for frontend UI purposes. </w:t>
      </w:r>
    </w:p>
    <w:p w:rsidR="00753ECB" w:rsidRDefault="00FE7901">
      <w:pPr>
        <w:rPr>
          <w:rFonts w:ascii="Cambria-Bold" w:hAnsi="Cambria-Bold" w:cs="Cambria-Bold"/>
          <w:b/>
          <w:bCs/>
          <w:sz w:val="32"/>
          <w:szCs w:val="32"/>
        </w:rPr>
      </w:pPr>
      <w:r>
        <w:rPr>
          <w:rFonts w:ascii="Cambria-Bold" w:hAnsi="Cambria-Bold" w:cs="Cambria-Bold"/>
          <w:b/>
          <w:bCs/>
          <w:sz w:val="32"/>
          <w:szCs w:val="32"/>
        </w:rPr>
        <w:t xml:space="preserve">Early </w:t>
      </w:r>
      <w:r w:rsidR="00C264FC" w:rsidRPr="00AB3621">
        <w:rPr>
          <w:rFonts w:ascii="Cambria-Bold" w:hAnsi="Cambria-Bold" w:cs="Cambria-Bold"/>
          <w:b/>
          <w:bCs/>
          <w:sz w:val="32"/>
          <w:szCs w:val="32"/>
        </w:rPr>
        <w:t>Code Example</w:t>
      </w:r>
      <w:r w:rsidR="00B56AE6">
        <w:rPr>
          <w:rFonts w:ascii="Cambria-Bold" w:hAnsi="Cambria-Bold" w:cs="Cambria-Bold"/>
          <w:b/>
          <w:bCs/>
          <w:sz w:val="32"/>
          <w:szCs w:val="32"/>
        </w:rPr>
        <w:t>s</w:t>
      </w:r>
    </w:p>
    <w:p w:rsidR="00097B14" w:rsidRDefault="00753ECB">
      <w:r w:rsidRPr="00753ECB">
        <w:rPr>
          <w:bdr w:val="single" w:sz="4" w:space="0" w:color="auto"/>
        </w:rPr>
        <w:t xml:space="preserve">Billing Customer </w:t>
      </w:r>
      <w:r>
        <w:t xml:space="preserve">and </w:t>
      </w:r>
      <w:r w:rsidRPr="00753ECB">
        <w:rPr>
          <w:bdr w:val="single" w:sz="4" w:space="0" w:color="auto"/>
        </w:rPr>
        <w:t xml:space="preserve">CRM Customer </w:t>
      </w:r>
      <w:r>
        <w:t>will be configured in container</w:t>
      </w:r>
      <w:r w:rsidR="00FE7901">
        <w:t xml:space="preserve"> extension </w:t>
      </w:r>
      <w:r>
        <w:t xml:space="preserve">as partial types, and resolve for a single DataGrid </w:t>
      </w:r>
      <w:r w:rsidR="0059359D">
        <w:t xml:space="preserve">canonical </w:t>
      </w:r>
      <w:r>
        <w:t xml:space="preserve">object at runtime. </w:t>
      </w:r>
      <w:r w:rsidR="0059359D">
        <w:t xml:space="preserve"> </w:t>
      </w:r>
      <w:r>
        <w:t>P</w:t>
      </w:r>
      <w:r w:rsidR="00C264FC">
        <w:t xml:space="preserve">lease note: final </w:t>
      </w:r>
      <w:r w:rsidR="00964296">
        <w:t>porting from current solution</w:t>
      </w:r>
      <w:r w:rsidR="00C264FC">
        <w:t xml:space="preserve"> may change the code </w:t>
      </w:r>
      <w:r>
        <w:t xml:space="preserve">example given </w:t>
      </w:r>
      <w:r w:rsidR="00C264FC">
        <w:t>below)</w:t>
      </w:r>
    </w:p>
    <w:p w:rsidR="00FE7901" w:rsidRPr="00FE7901" w:rsidRDefault="00FE7901" w:rsidP="00097B14">
      <w:r>
        <w:t xml:space="preserve">The </w:t>
      </w:r>
      <w:r w:rsidR="0059359D">
        <w:t xml:space="preserve">below </w:t>
      </w:r>
      <w:r>
        <w:t xml:space="preserve">code sample illustrates the use of the extension without using </w:t>
      </w:r>
      <w:r w:rsidR="0059359D">
        <w:t xml:space="preserve">Canonical Object </w:t>
      </w:r>
      <w:r>
        <w:t>Lifetime manager.</w:t>
      </w:r>
    </w:p>
    <w:p w:rsidR="00097B14" w:rsidRPr="00C264FC" w:rsidRDefault="00097B14" w:rsidP="00B56AE6">
      <w:pPr>
        <w:shd w:val="clear" w:color="auto" w:fill="DDD9C3" w:themeFill="background2" w:themeFillShade="E6"/>
        <w:rPr>
          <w:rFonts w:ascii="Courier New" w:hAnsi="Courier New" w:cs="Courier New"/>
          <w:noProof/>
          <w:sz w:val="16"/>
          <w:szCs w:val="16"/>
        </w:rPr>
      </w:pPr>
      <w:r w:rsidRPr="00C264FC">
        <w:rPr>
          <w:rFonts w:ascii="Courier New" w:hAnsi="Courier New" w:cs="Courier New"/>
          <w:noProof/>
          <w:color w:val="2B91AF"/>
          <w:sz w:val="16"/>
          <w:szCs w:val="16"/>
        </w:rPr>
        <w:lastRenderedPageBreak/>
        <w:t>IUnityContainer</w:t>
      </w:r>
      <w:r w:rsidRPr="00C264FC">
        <w:rPr>
          <w:rFonts w:ascii="Courier New" w:hAnsi="Courier New" w:cs="Courier New"/>
          <w:noProof/>
          <w:sz w:val="16"/>
          <w:szCs w:val="16"/>
        </w:rPr>
        <w:t xml:space="preserve"> container = </w:t>
      </w:r>
      <w:r w:rsidRPr="00C264FC">
        <w:rPr>
          <w:rFonts w:ascii="Courier New" w:hAnsi="Courier New" w:cs="Courier New"/>
          <w:noProof/>
          <w:color w:val="0000FF"/>
          <w:sz w:val="16"/>
          <w:szCs w:val="16"/>
        </w:rPr>
        <w:t>new</w:t>
      </w:r>
      <w:r w:rsidRPr="00C264FC">
        <w:rPr>
          <w:rFonts w:ascii="Courier New" w:hAnsi="Courier New" w:cs="Courier New"/>
          <w:noProof/>
          <w:sz w:val="16"/>
          <w:szCs w:val="16"/>
        </w:rPr>
        <w:t xml:space="preserve"> </w:t>
      </w:r>
      <w:r w:rsidRPr="00C264FC">
        <w:rPr>
          <w:rFonts w:ascii="Courier New" w:hAnsi="Courier New" w:cs="Courier New"/>
          <w:noProof/>
          <w:color w:val="2B91AF"/>
          <w:sz w:val="16"/>
          <w:szCs w:val="16"/>
        </w:rPr>
        <w:t>UnityContainer</w:t>
      </w:r>
      <w:r w:rsidRPr="00C264FC">
        <w:rPr>
          <w:rFonts w:ascii="Courier New" w:hAnsi="Courier New" w:cs="Courier New"/>
          <w:noProof/>
          <w:sz w:val="16"/>
          <w:szCs w:val="16"/>
        </w:rPr>
        <w:t>();</w:t>
      </w:r>
    </w:p>
    <w:p w:rsidR="00097B14" w:rsidRPr="00C264FC" w:rsidRDefault="00FE7901" w:rsidP="00B56AE6">
      <w:pPr>
        <w:shd w:val="clear" w:color="auto" w:fill="DDD9C3" w:themeFill="background2" w:themeFillShade="E6"/>
        <w:rPr>
          <w:rFonts w:ascii="Courier New" w:hAnsi="Courier New" w:cs="Courier New"/>
          <w:noProof/>
          <w:sz w:val="16"/>
          <w:szCs w:val="16"/>
        </w:rPr>
      </w:pPr>
      <w:r>
        <w:rPr>
          <w:rFonts w:ascii="Courier New" w:hAnsi="Courier New" w:cs="Courier New"/>
          <w:noProof/>
          <w:sz w:val="16"/>
          <w:szCs w:val="16"/>
        </w:rPr>
        <w:t>c</w:t>
      </w:r>
      <w:r w:rsidR="00097B14" w:rsidRPr="00C264FC">
        <w:rPr>
          <w:rFonts w:ascii="Courier New" w:hAnsi="Courier New" w:cs="Courier New"/>
          <w:noProof/>
          <w:sz w:val="16"/>
          <w:szCs w:val="16"/>
        </w:rPr>
        <w:t>ontainer</w:t>
      </w:r>
      <w:r w:rsidR="00097B14" w:rsidRPr="00C264FC">
        <w:rPr>
          <w:rFonts w:ascii="Courier New" w:hAnsi="Courier New" w:cs="Courier New"/>
          <w:noProof/>
          <w:sz w:val="16"/>
          <w:szCs w:val="16"/>
        </w:rPr>
        <w:br/>
        <w:t>.AddNewExtension&lt;</w:t>
      </w:r>
      <w:r w:rsidR="0059359D">
        <w:rPr>
          <w:rFonts w:ascii="Courier New" w:hAnsi="Courier New" w:cs="Courier New"/>
          <w:noProof/>
          <w:color w:val="2B91AF"/>
          <w:sz w:val="16"/>
          <w:szCs w:val="16"/>
        </w:rPr>
        <w:t>Canonical</w:t>
      </w:r>
      <w:r w:rsidR="001A16FF" w:rsidRPr="00C264FC">
        <w:rPr>
          <w:rFonts w:ascii="Courier New" w:hAnsi="Courier New" w:cs="Courier New"/>
          <w:noProof/>
          <w:color w:val="2B91AF"/>
          <w:sz w:val="16"/>
          <w:szCs w:val="16"/>
        </w:rPr>
        <w:t>Object</w:t>
      </w:r>
      <w:r w:rsidR="00097B14" w:rsidRPr="00C264FC">
        <w:rPr>
          <w:rFonts w:ascii="Courier New" w:hAnsi="Courier New" w:cs="Courier New"/>
          <w:noProof/>
          <w:sz w:val="16"/>
          <w:szCs w:val="16"/>
        </w:rPr>
        <w:t>&gt;()</w:t>
      </w:r>
      <w:r w:rsidR="00097B14" w:rsidRPr="00C264FC">
        <w:rPr>
          <w:rFonts w:ascii="Courier New" w:hAnsi="Courier New" w:cs="Courier New"/>
          <w:noProof/>
          <w:sz w:val="16"/>
          <w:szCs w:val="16"/>
        </w:rPr>
        <w:br/>
        <w:t>.Configure&lt;</w:t>
      </w:r>
      <w:r w:rsidR="0059359D">
        <w:rPr>
          <w:rFonts w:ascii="Courier New" w:hAnsi="Courier New" w:cs="Courier New"/>
          <w:noProof/>
          <w:color w:val="2B91AF"/>
          <w:sz w:val="16"/>
          <w:szCs w:val="16"/>
        </w:rPr>
        <w:t>Canonical</w:t>
      </w:r>
      <w:r w:rsidR="0059359D" w:rsidRPr="00C264FC">
        <w:rPr>
          <w:rFonts w:ascii="Courier New" w:hAnsi="Courier New" w:cs="Courier New"/>
          <w:noProof/>
          <w:color w:val="2B91AF"/>
          <w:sz w:val="16"/>
          <w:szCs w:val="16"/>
        </w:rPr>
        <w:t>Object</w:t>
      </w:r>
      <w:r w:rsidR="00097B14" w:rsidRPr="00C264FC">
        <w:rPr>
          <w:rFonts w:ascii="Courier New" w:hAnsi="Courier New" w:cs="Courier New"/>
          <w:noProof/>
          <w:sz w:val="16"/>
          <w:szCs w:val="16"/>
        </w:rPr>
        <w:t>&gt;</w:t>
      </w:r>
      <w:r w:rsidR="00097B14" w:rsidRPr="00C264FC">
        <w:rPr>
          <w:rFonts w:ascii="Courier New" w:hAnsi="Courier New" w:cs="Courier New"/>
          <w:noProof/>
          <w:sz w:val="16"/>
          <w:szCs w:val="16"/>
        </w:rPr>
        <w:br/>
      </w:r>
      <w:r>
        <w:rPr>
          <w:rFonts w:ascii="Courier New" w:hAnsi="Courier New" w:cs="Courier New"/>
          <w:noProof/>
          <w:sz w:val="16"/>
          <w:szCs w:val="16"/>
        </w:rPr>
        <w:t xml:space="preserve"> </w:t>
      </w:r>
      <w:r w:rsidR="00097B14" w:rsidRPr="00C264FC">
        <w:rPr>
          <w:rFonts w:ascii="Courier New" w:hAnsi="Courier New" w:cs="Courier New"/>
          <w:noProof/>
          <w:sz w:val="16"/>
          <w:szCs w:val="16"/>
        </w:rPr>
        <w:t>.RegisterPartial</w:t>
      </w:r>
      <w:r w:rsidR="001A16FF" w:rsidRPr="00C264FC">
        <w:rPr>
          <w:rFonts w:ascii="Courier New" w:hAnsi="Courier New" w:cs="Courier New"/>
          <w:noProof/>
          <w:sz w:val="16"/>
          <w:szCs w:val="16"/>
        </w:rPr>
        <w:t>Type</w:t>
      </w:r>
      <w:r w:rsidR="00097B14" w:rsidRPr="00C264FC">
        <w:rPr>
          <w:rFonts w:ascii="Courier New" w:hAnsi="Courier New" w:cs="Courier New"/>
          <w:noProof/>
          <w:sz w:val="16"/>
          <w:szCs w:val="16"/>
        </w:rPr>
        <w:t>&lt;</w:t>
      </w:r>
      <w:r w:rsidR="00097B14" w:rsidRPr="00C264FC">
        <w:rPr>
          <w:rFonts w:ascii="Courier New" w:hAnsi="Courier New" w:cs="Courier New"/>
          <w:noProof/>
          <w:color w:val="2B91AF"/>
          <w:sz w:val="16"/>
          <w:szCs w:val="16"/>
        </w:rPr>
        <w:t>IDataGridView</w:t>
      </w:r>
      <w:r w:rsidR="00097B14" w:rsidRPr="00C264FC">
        <w:rPr>
          <w:rFonts w:ascii="Courier New" w:hAnsi="Courier New" w:cs="Courier New"/>
          <w:noProof/>
          <w:sz w:val="16"/>
          <w:szCs w:val="16"/>
        </w:rPr>
        <w:t>&lt;</w:t>
      </w:r>
      <w:r w:rsidR="00097B14" w:rsidRPr="00C264FC">
        <w:rPr>
          <w:rFonts w:ascii="Courier New" w:hAnsi="Courier New" w:cs="Courier New"/>
          <w:noProof/>
          <w:color w:val="2B91AF"/>
          <w:sz w:val="16"/>
          <w:szCs w:val="16"/>
        </w:rPr>
        <w:t>IBillingCust</w:t>
      </w:r>
      <w:r w:rsidR="00097B14" w:rsidRPr="00C264FC">
        <w:rPr>
          <w:rFonts w:ascii="Courier New" w:hAnsi="Courier New" w:cs="Courier New"/>
          <w:noProof/>
          <w:sz w:val="16"/>
          <w:szCs w:val="16"/>
        </w:rPr>
        <w:t>,</w:t>
      </w:r>
      <w:r w:rsidR="00097B14" w:rsidRPr="00C264FC">
        <w:rPr>
          <w:rFonts w:ascii="Courier New" w:hAnsi="Courier New" w:cs="Courier New"/>
          <w:noProof/>
          <w:color w:val="2B91AF"/>
          <w:sz w:val="16"/>
          <w:szCs w:val="16"/>
        </w:rPr>
        <w:t>BillingCust</w:t>
      </w:r>
      <w:r w:rsidR="00097B14" w:rsidRPr="00C264FC">
        <w:rPr>
          <w:rFonts w:ascii="Courier New" w:hAnsi="Courier New" w:cs="Courier New"/>
          <w:noProof/>
          <w:sz w:val="16"/>
          <w:szCs w:val="16"/>
        </w:rPr>
        <w:t>&gt;&gt;("CustomerView")</w:t>
      </w:r>
      <w:r w:rsidR="00097B14" w:rsidRPr="00C264FC">
        <w:rPr>
          <w:rFonts w:ascii="Courier New" w:hAnsi="Courier New" w:cs="Courier New"/>
          <w:noProof/>
          <w:sz w:val="16"/>
          <w:szCs w:val="16"/>
        </w:rPr>
        <w:br/>
        <w:t xml:space="preserve"> .RegisterPartialType&lt;</w:t>
      </w:r>
      <w:r w:rsidR="00097B14" w:rsidRPr="00C264FC">
        <w:rPr>
          <w:rFonts w:ascii="Courier New" w:hAnsi="Courier New" w:cs="Courier New"/>
          <w:noProof/>
          <w:color w:val="2B91AF"/>
          <w:sz w:val="16"/>
          <w:szCs w:val="16"/>
        </w:rPr>
        <w:t>IDataGridView</w:t>
      </w:r>
      <w:r w:rsidR="00097B14" w:rsidRPr="00C264FC">
        <w:rPr>
          <w:rFonts w:ascii="Courier New" w:hAnsi="Courier New" w:cs="Courier New"/>
          <w:noProof/>
          <w:sz w:val="16"/>
          <w:szCs w:val="16"/>
        </w:rPr>
        <w:t>&lt;</w:t>
      </w:r>
      <w:r w:rsidR="00097B14" w:rsidRPr="00C264FC">
        <w:rPr>
          <w:rFonts w:ascii="Courier New" w:hAnsi="Courier New" w:cs="Courier New"/>
          <w:noProof/>
          <w:color w:val="2B91AF"/>
          <w:sz w:val="16"/>
          <w:szCs w:val="16"/>
        </w:rPr>
        <w:t>ICRMCustomer</w:t>
      </w:r>
      <w:r w:rsidR="00097B14" w:rsidRPr="00C264FC">
        <w:rPr>
          <w:rFonts w:ascii="Courier New" w:hAnsi="Courier New" w:cs="Courier New"/>
          <w:noProof/>
          <w:sz w:val="16"/>
          <w:szCs w:val="16"/>
        </w:rPr>
        <w:t>,</w:t>
      </w:r>
      <w:r w:rsidR="00097B14" w:rsidRPr="00C264FC">
        <w:rPr>
          <w:rFonts w:ascii="Courier New" w:hAnsi="Courier New" w:cs="Courier New"/>
          <w:noProof/>
          <w:color w:val="2B91AF"/>
          <w:sz w:val="16"/>
          <w:szCs w:val="16"/>
        </w:rPr>
        <w:t>CRMCustomer</w:t>
      </w:r>
      <w:r w:rsidR="00097B14" w:rsidRPr="00C264FC">
        <w:rPr>
          <w:rFonts w:ascii="Courier New" w:hAnsi="Courier New" w:cs="Courier New"/>
          <w:noProof/>
          <w:sz w:val="16"/>
          <w:szCs w:val="16"/>
        </w:rPr>
        <w:t>&gt;&gt;("CustomerView");</w:t>
      </w:r>
    </w:p>
    <w:p w:rsidR="001A16FF" w:rsidRDefault="00097B14" w:rsidP="00B56AE6">
      <w:pPr>
        <w:shd w:val="clear" w:color="auto" w:fill="DDD9C3" w:themeFill="background2" w:themeFillShade="E6"/>
        <w:rPr>
          <w:rFonts w:ascii="Courier New" w:hAnsi="Courier New" w:cs="Courier New"/>
          <w:noProof/>
          <w:sz w:val="16"/>
          <w:szCs w:val="16"/>
        </w:rPr>
      </w:pPr>
      <w:r w:rsidRPr="00C264FC">
        <w:rPr>
          <w:rFonts w:ascii="Courier New" w:hAnsi="Courier New" w:cs="Courier New"/>
          <w:noProof/>
          <w:sz w:val="16"/>
          <w:szCs w:val="16"/>
        </w:rPr>
        <w:t>DataGrid customerView = container.Resolve&lt;IDataGridView&gt;("CustomerView");</w:t>
      </w:r>
    </w:p>
    <w:p w:rsidR="00FE7901" w:rsidRPr="00FE7901" w:rsidRDefault="00FE7901">
      <w:r w:rsidRPr="00FE7901">
        <w:t xml:space="preserve">The second code sample illustrates the use of extension with </w:t>
      </w:r>
      <w:r w:rsidR="0059359D">
        <w:t xml:space="preserve">Canonical Object </w:t>
      </w:r>
      <w:r w:rsidRPr="00FE7901">
        <w:t xml:space="preserve">Lifetime </w:t>
      </w:r>
      <w:r w:rsidR="0059359D">
        <w:t>Manager (COLifetime)</w:t>
      </w:r>
      <w:r w:rsidRPr="00FE7901">
        <w:t xml:space="preserve"> that enables the singleton pattern</w:t>
      </w:r>
      <w:r w:rsidR="00F201E4">
        <w:t xml:space="preserve"> for canonical object parts</w:t>
      </w:r>
      <w:r w:rsidRPr="00FE7901">
        <w:t>.</w:t>
      </w:r>
    </w:p>
    <w:p w:rsidR="00FE7901" w:rsidRPr="00C264FC" w:rsidRDefault="00FE7901" w:rsidP="00B56AE6">
      <w:pPr>
        <w:shd w:val="clear" w:color="auto" w:fill="DDD9C3" w:themeFill="background2" w:themeFillShade="E6"/>
        <w:rPr>
          <w:rFonts w:ascii="Courier New" w:hAnsi="Courier New" w:cs="Courier New"/>
          <w:noProof/>
          <w:sz w:val="16"/>
          <w:szCs w:val="16"/>
        </w:rPr>
      </w:pPr>
      <w:r w:rsidRPr="00C264FC">
        <w:rPr>
          <w:rFonts w:ascii="Courier New" w:hAnsi="Courier New" w:cs="Courier New"/>
          <w:noProof/>
          <w:color w:val="2B91AF"/>
          <w:sz w:val="16"/>
          <w:szCs w:val="16"/>
        </w:rPr>
        <w:t>IUnityContainer</w:t>
      </w:r>
      <w:r w:rsidRPr="00C264FC">
        <w:rPr>
          <w:rFonts w:ascii="Courier New" w:hAnsi="Courier New" w:cs="Courier New"/>
          <w:noProof/>
          <w:sz w:val="16"/>
          <w:szCs w:val="16"/>
        </w:rPr>
        <w:t xml:space="preserve"> container = </w:t>
      </w:r>
      <w:r w:rsidRPr="00C264FC">
        <w:rPr>
          <w:rFonts w:ascii="Courier New" w:hAnsi="Courier New" w:cs="Courier New"/>
          <w:noProof/>
          <w:color w:val="0000FF"/>
          <w:sz w:val="16"/>
          <w:szCs w:val="16"/>
        </w:rPr>
        <w:t>new</w:t>
      </w:r>
      <w:r w:rsidRPr="00C264FC">
        <w:rPr>
          <w:rFonts w:ascii="Courier New" w:hAnsi="Courier New" w:cs="Courier New"/>
          <w:noProof/>
          <w:sz w:val="16"/>
          <w:szCs w:val="16"/>
        </w:rPr>
        <w:t xml:space="preserve"> </w:t>
      </w:r>
      <w:r w:rsidRPr="00C264FC">
        <w:rPr>
          <w:rFonts w:ascii="Courier New" w:hAnsi="Courier New" w:cs="Courier New"/>
          <w:noProof/>
          <w:color w:val="2B91AF"/>
          <w:sz w:val="16"/>
          <w:szCs w:val="16"/>
        </w:rPr>
        <w:t>UnityContainer</w:t>
      </w:r>
      <w:r w:rsidRPr="00C264FC">
        <w:rPr>
          <w:rFonts w:ascii="Courier New" w:hAnsi="Courier New" w:cs="Courier New"/>
          <w:noProof/>
          <w:sz w:val="16"/>
          <w:szCs w:val="16"/>
        </w:rPr>
        <w:t>();</w:t>
      </w:r>
    </w:p>
    <w:p w:rsidR="00FE7901" w:rsidRPr="00C264FC" w:rsidRDefault="00FE7901" w:rsidP="00B56AE6">
      <w:pPr>
        <w:shd w:val="clear" w:color="auto" w:fill="DDD9C3" w:themeFill="background2" w:themeFillShade="E6"/>
        <w:rPr>
          <w:rFonts w:ascii="Courier New" w:hAnsi="Courier New" w:cs="Courier New"/>
          <w:noProof/>
          <w:sz w:val="16"/>
          <w:szCs w:val="16"/>
        </w:rPr>
      </w:pPr>
      <w:r>
        <w:rPr>
          <w:rFonts w:ascii="Courier New" w:hAnsi="Courier New" w:cs="Courier New"/>
          <w:noProof/>
          <w:sz w:val="16"/>
          <w:szCs w:val="16"/>
        </w:rPr>
        <w:t>c</w:t>
      </w:r>
      <w:r w:rsidRPr="00C264FC">
        <w:rPr>
          <w:rFonts w:ascii="Courier New" w:hAnsi="Courier New" w:cs="Courier New"/>
          <w:noProof/>
          <w:sz w:val="16"/>
          <w:szCs w:val="16"/>
        </w:rPr>
        <w:t>ontainer</w:t>
      </w:r>
      <w:r w:rsidRPr="00C264FC">
        <w:rPr>
          <w:rFonts w:ascii="Courier New" w:hAnsi="Courier New" w:cs="Courier New"/>
          <w:noProof/>
          <w:sz w:val="16"/>
          <w:szCs w:val="16"/>
        </w:rPr>
        <w:br/>
        <w:t>.AddNewExtension&lt;</w:t>
      </w:r>
      <w:r w:rsidR="00F201E4">
        <w:rPr>
          <w:rFonts w:ascii="Courier New" w:hAnsi="Courier New" w:cs="Courier New"/>
          <w:noProof/>
          <w:color w:val="2B91AF"/>
          <w:sz w:val="16"/>
          <w:szCs w:val="16"/>
        </w:rPr>
        <w:t>Canonical</w:t>
      </w:r>
      <w:r w:rsidR="00F201E4" w:rsidRPr="00C264FC">
        <w:rPr>
          <w:rFonts w:ascii="Courier New" w:hAnsi="Courier New" w:cs="Courier New"/>
          <w:noProof/>
          <w:color w:val="2B91AF"/>
          <w:sz w:val="16"/>
          <w:szCs w:val="16"/>
        </w:rPr>
        <w:t>Object</w:t>
      </w:r>
      <w:r w:rsidRPr="00C264FC">
        <w:rPr>
          <w:rFonts w:ascii="Courier New" w:hAnsi="Courier New" w:cs="Courier New"/>
          <w:noProof/>
          <w:sz w:val="16"/>
          <w:szCs w:val="16"/>
        </w:rPr>
        <w:t>&gt;()</w:t>
      </w:r>
      <w:r w:rsidRPr="00C264FC">
        <w:rPr>
          <w:rFonts w:ascii="Courier New" w:hAnsi="Courier New" w:cs="Courier New"/>
          <w:noProof/>
          <w:sz w:val="16"/>
          <w:szCs w:val="16"/>
        </w:rPr>
        <w:br/>
        <w:t>.Configure&lt;</w:t>
      </w:r>
      <w:r w:rsidR="00F201E4">
        <w:rPr>
          <w:rFonts w:ascii="Courier New" w:hAnsi="Courier New" w:cs="Courier New"/>
          <w:noProof/>
          <w:color w:val="2B91AF"/>
          <w:sz w:val="16"/>
          <w:szCs w:val="16"/>
        </w:rPr>
        <w:t>Canonical</w:t>
      </w:r>
      <w:r w:rsidR="00F201E4" w:rsidRPr="00C264FC">
        <w:rPr>
          <w:rFonts w:ascii="Courier New" w:hAnsi="Courier New" w:cs="Courier New"/>
          <w:noProof/>
          <w:color w:val="2B91AF"/>
          <w:sz w:val="16"/>
          <w:szCs w:val="16"/>
        </w:rPr>
        <w:t>Object</w:t>
      </w:r>
      <w:r w:rsidRPr="00C264FC">
        <w:rPr>
          <w:rFonts w:ascii="Courier New" w:hAnsi="Courier New" w:cs="Courier New"/>
          <w:noProof/>
          <w:sz w:val="16"/>
          <w:szCs w:val="16"/>
        </w:rPr>
        <w:t>&gt;</w:t>
      </w:r>
      <w:r w:rsidRPr="00C264FC">
        <w:rPr>
          <w:rFonts w:ascii="Courier New" w:hAnsi="Courier New" w:cs="Courier New"/>
          <w:noProof/>
          <w:sz w:val="16"/>
          <w:szCs w:val="16"/>
        </w:rPr>
        <w:br/>
        <w:t xml:space="preserve"> .RegisterPartialType&lt;</w:t>
      </w:r>
      <w:r w:rsidRPr="00C264FC">
        <w:rPr>
          <w:rFonts w:ascii="Courier New" w:hAnsi="Courier New" w:cs="Courier New"/>
          <w:noProof/>
          <w:color w:val="2B91AF"/>
          <w:sz w:val="16"/>
          <w:szCs w:val="16"/>
        </w:rPr>
        <w:t>IDataGridView</w:t>
      </w:r>
      <w:r w:rsidRPr="00C264FC">
        <w:rPr>
          <w:rFonts w:ascii="Courier New" w:hAnsi="Courier New" w:cs="Courier New"/>
          <w:noProof/>
          <w:sz w:val="16"/>
          <w:szCs w:val="16"/>
        </w:rPr>
        <w:t>&lt;</w:t>
      </w:r>
      <w:r w:rsidRPr="00C264FC">
        <w:rPr>
          <w:rFonts w:ascii="Courier New" w:hAnsi="Courier New" w:cs="Courier New"/>
          <w:noProof/>
          <w:color w:val="2B91AF"/>
          <w:sz w:val="16"/>
          <w:szCs w:val="16"/>
        </w:rPr>
        <w:t>IBillingCust</w:t>
      </w:r>
      <w:r w:rsidRPr="00C264FC">
        <w:rPr>
          <w:rFonts w:ascii="Courier New" w:hAnsi="Courier New" w:cs="Courier New"/>
          <w:noProof/>
          <w:sz w:val="16"/>
          <w:szCs w:val="16"/>
        </w:rPr>
        <w:t>,</w:t>
      </w:r>
      <w:r w:rsidRPr="00C264FC">
        <w:rPr>
          <w:rFonts w:ascii="Courier New" w:hAnsi="Courier New" w:cs="Courier New"/>
          <w:noProof/>
          <w:color w:val="2B91AF"/>
          <w:sz w:val="16"/>
          <w:szCs w:val="16"/>
        </w:rPr>
        <w:t>BillingCust</w:t>
      </w:r>
      <w:r w:rsidRPr="00C264FC">
        <w:rPr>
          <w:rFonts w:ascii="Courier New" w:hAnsi="Courier New" w:cs="Courier New"/>
          <w:noProof/>
          <w:sz w:val="16"/>
          <w:szCs w:val="16"/>
        </w:rPr>
        <w:t>&gt;&gt;("CustomerView"</w:t>
      </w:r>
      <w:r>
        <w:rPr>
          <w:rFonts w:ascii="Courier New" w:hAnsi="Courier New" w:cs="Courier New"/>
          <w:noProof/>
          <w:sz w:val="16"/>
          <w:szCs w:val="16"/>
        </w:rPr>
        <w:t xml:space="preserve">,new </w:t>
      </w:r>
      <w:r w:rsidR="00F201E4">
        <w:rPr>
          <w:rFonts w:ascii="Courier New" w:hAnsi="Courier New" w:cs="Courier New"/>
          <w:noProof/>
          <w:sz w:val="16"/>
          <w:szCs w:val="16"/>
        </w:rPr>
        <w:t>CO</w:t>
      </w:r>
      <w:r>
        <w:rPr>
          <w:rFonts w:ascii="Courier New" w:hAnsi="Courier New" w:cs="Courier New"/>
          <w:noProof/>
          <w:sz w:val="16"/>
          <w:szCs w:val="16"/>
        </w:rPr>
        <w:t>LifeTime()</w:t>
      </w:r>
      <w:r w:rsidRPr="00C264FC">
        <w:rPr>
          <w:rFonts w:ascii="Courier New" w:hAnsi="Courier New" w:cs="Courier New"/>
          <w:noProof/>
          <w:sz w:val="16"/>
          <w:szCs w:val="16"/>
        </w:rPr>
        <w:t>)</w:t>
      </w:r>
      <w:r w:rsidRPr="00C264FC">
        <w:rPr>
          <w:rFonts w:ascii="Courier New" w:hAnsi="Courier New" w:cs="Courier New"/>
          <w:noProof/>
          <w:sz w:val="16"/>
          <w:szCs w:val="16"/>
        </w:rPr>
        <w:br/>
        <w:t xml:space="preserve"> .RegisterPartialType&lt;</w:t>
      </w:r>
      <w:r w:rsidRPr="00C264FC">
        <w:rPr>
          <w:rFonts w:ascii="Courier New" w:hAnsi="Courier New" w:cs="Courier New"/>
          <w:noProof/>
          <w:color w:val="2B91AF"/>
          <w:sz w:val="16"/>
          <w:szCs w:val="16"/>
        </w:rPr>
        <w:t>IDataGridView</w:t>
      </w:r>
      <w:r w:rsidRPr="00C264FC">
        <w:rPr>
          <w:rFonts w:ascii="Courier New" w:hAnsi="Courier New" w:cs="Courier New"/>
          <w:noProof/>
          <w:sz w:val="16"/>
          <w:szCs w:val="16"/>
        </w:rPr>
        <w:t>&lt;</w:t>
      </w:r>
      <w:r w:rsidRPr="00C264FC">
        <w:rPr>
          <w:rFonts w:ascii="Courier New" w:hAnsi="Courier New" w:cs="Courier New"/>
          <w:noProof/>
          <w:color w:val="2B91AF"/>
          <w:sz w:val="16"/>
          <w:szCs w:val="16"/>
        </w:rPr>
        <w:t>ICRMCustomer</w:t>
      </w:r>
      <w:r w:rsidRPr="00C264FC">
        <w:rPr>
          <w:rFonts w:ascii="Courier New" w:hAnsi="Courier New" w:cs="Courier New"/>
          <w:noProof/>
          <w:sz w:val="16"/>
          <w:szCs w:val="16"/>
        </w:rPr>
        <w:t>,</w:t>
      </w:r>
      <w:r w:rsidRPr="00C264FC">
        <w:rPr>
          <w:rFonts w:ascii="Courier New" w:hAnsi="Courier New" w:cs="Courier New"/>
          <w:noProof/>
          <w:color w:val="2B91AF"/>
          <w:sz w:val="16"/>
          <w:szCs w:val="16"/>
        </w:rPr>
        <w:t>CRMCustomer</w:t>
      </w:r>
      <w:r w:rsidRPr="00C264FC">
        <w:rPr>
          <w:rFonts w:ascii="Courier New" w:hAnsi="Courier New" w:cs="Courier New"/>
          <w:noProof/>
          <w:sz w:val="16"/>
          <w:szCs w:val="16"/>
        </w:rPr>
        <w:t>&gt;&gt;("CustomerView"</w:t>
      </w:r>
      <w:r>
        <w:rPr>
          <w:rFonts w:ascii="Courier New" w:hAnsi="Courier New" w:cs="Courier New"/>
          <w:noProof/>
          <w:sz w:val="16"/>
          <w:szCs w:val="16"/>
        </w:rPr>
        <w:t xml:space="preserve">,new </w:t>
      </w:r>
      <w:r w:rsidR="00F201E4">
        <w:rPr>
          <w:rFonts w:ascii="Courier New" w:hAnsi="Courier New" w:cs="Courier New"/>
          <w:noProof/>
          <w:sz w:val="16"/>
          <w:szCs w:val="16"/>
        </w:rPr>
        <w:t>CO</w:t>
      </w:r>
      <w:r>
        <w:rPr>
          <w:rFonts w:ascii="Courier New" w:hAnsi="Courier New" w:cs="Courier New"/>
          <w:noProof/>
          <w:sz w:val="16"/>
          <w:szCs w:val="16"/>
        </w:rPr>
        <w:t>LifeTime()</w:t>
      </w:r>
      <w:r w:rsidRPr="00C264FC">
        <w:rPr>
          <w:rFonts w:ascii="Courier New" w:hAnsi="Courier New" w:cs="Courier New"/>
          <w:noProof/>
          <w:sz w:val="16"/>
          <w:szCs w:val="16"/>
        </w:rPr>
        <w:t>);</w:t>
      </w:r>
    </w:p>
    <w:p w:rsidR="00FE7901" w:rsidRDefault="00FE7901" w:rsidP="00B56AE6">
      <w:pPr>
        <w:shd w:val="clear" w:color="auto" w:fill="DDD9C3" w:themeFill="background2" w:themeFillShade="E6"/>
        <w:rPr>
          <w:rFonts w:ascii="Courier New" w:hAnsi="Courier New" w:cs="Courier New"/>
          <w:noProof/>
          <w:sz w:val="16"/>
          <w:szCs w:val="16"/>
        </w:rPr>
      </w:pPr>
      <w:r w:rsidRPr="00C264FC">
        <w:rPr>
          <w:rFonts w:ascii="Courier New" w:hAnsi="Courier New" w:cs="Courier New"/>
          <w:noProof/>
          <w:sz w:val="16"/>
          <w:szCs w:val="16"/>
        </w:rPr>
        <w:t>D</w:t>
      </w:r>
      <w:r w:rsidR="00F201E4">
        <w:rPr>
          <w:rFonts w:ascii="Courier New" w:hAnsi="Courier New" w:cs="Courier New"/>
          <w:noProof/>
          <w:sz w:val="16"/>
          <w:szCs w:val="16"/>
        </w:rPr>
        <w:t>ataGrid custView = C</w:t>
      </w:r>
      <w:r w:rsidRPr="00C264FC">
        <w:rPr>
          <w:rFonts w:ascii="Courier New" w:hAnsi="Courier New" w:cs="Courier New"/>
          <w:noProof/>
          <w:sz w:val="16"/>
          <w:szCs w:val="16"/>
        </w:rPr>
        <w:t>ontainer.Resolve&lt;IDataGridView&gt;("CustomerView");</w:t>
      </w:r>
    </w:p>
    <w:p w:rsidR="00FE7901" w:rsidRPr="00914EBB" w:rsidRDefault="00F201E4">
      <w:r w:rsidRPr="00914EBB">
        <w:t>After</w:t>
      </w:r>
      <w:r w:rsidR="00FE7901" w:rsidRPr="00914EBB">
        <w:t xml:space="preserve"> use of the DataGrid customerView </w:t>
      </w:r>
      <w:r>
        <w:t>canonical</w:t>
      </w:r>
      <w:r w:rsidR="00FE7901" w:rsidRPr="00914EBB">
        <w:t xml:space="preserve"> object developer can resolve the partial </w:t>
      </w:r>
      <w:r>
        <w:t xml:space="preserve">object from canonical object/type </w:t>
      </w:r>
      <w:r w:rsidR="00FE7901" w:rsidRPr="00914EBB">
        <w:t xml:space="preserve">by just resolving </w:t>
      </w:r>
      <w:r w:rsidR="00914EBB" w:rsidRPr="00914EBB">
        <w:t>each of the</w:t>
      </w:r>
      <w:r>
        <w:t xml:space="preserve"> </w:t>
      </w:r>
      <w:r w:rsidR="00FE7901" w:rsidRPr="00914EBB">
        <w:t xml:space="preserve">partial </w:t>
      </w:r>
      <w:r>
        <w:t>object/type</w:t>
      </w:r>
      <w:r w:rsidR="00FE7901" w:rsidRPr="00914EBB">
        <w:t>.</w:t>
      </w:r>
    </w:p>
    <w:p w:rsidR="00AB3621" w:rsidRPr="00503EC7" w:rsidRDefault="00FE7901">
      <w:pPr>
        <w:rPr>
          <w:rFonts w:ascii="Courier New" w:hAnsi="Courier New" w:cs="Courier New"/>
          <w:noProof/>
          <w:sz w:val="16"/>
          <w:szCs w:val="16"/>
        </w:rPr>
      </w:pPr>
      <w:r w:rsidRPr="00503EC7">
        <w:rPr>
          <w:rFonts w:ascii="Courier New" w:hAnsi="Courier New" w:cs="Courier New"/>
          <w:noProof/>
          <w:color w:val="2B91AF"/>
          <w:sz w:val="16"/>
          <w:szCs w:val="16"/>
          <w:shd w:val="clear" w:color="auto" w:fill="DDD9C3" w:themeFill="background2" w:themeFillShade="E6"/>
        </w:rPr>
        <w:t xml:space="preserve">BillingCust </w:t>
      </w:r>
      <w:r w:rsidRPr="00503EC7">
        <w:rPr>
          <w:rFonts w:ascii="Courier New" w:hAnsi="Courier New" w:cs="Courier New"/>
          <w:noProof/>
          <w:sz w:val="16"/>
          <w:szCs w:val="16"/>
          <w:shd w:val="clear" w:color="auto" w:fill="DDD9C3" w:themeFill="background2" w:themeFillShade="E6"/>
        </w:rPr>
        <w:t>billingCust</w:t>
      </w:r>
      <w:r w:rsidRPr="00503EC7">
        <w:rPr>
          <w:rFonts w:ascii="Courier New" w:hAnsi="Courier New" w:cs="Courier New"/>
          <w:noProof/>
          <w:color w:val="2B91AF"/>
          <w:sz w:val="16"/>
          <w:szCs w:val="16"/>
          <w:shd w:val="clear" w:color="auto" w:fill="DDD9C3" w:themeFill="background2" w:themeFillShade="E6"/>
        </w:rPr>
        <w:t xml:space="preserve"> </w:t>
      </w:r>
      <w:r w:rsidRPr="00503EC7">
        <w:rPr>
          <w:rFonts w:ascii="Courier New" w:hAnsi="Courier New" w:cs="Courier New"/>
          <w:noProof/>
          <w:sz w:val="16"/>
          <w:szCs w:val="16"/>
          <w:shd w:val="clear" w:color="auto" w:fill="DDD9C3" w:themeFill="background2" w:themeFillShade="E6"/>
        </w:rPr>
        <w:t>=</w:t>
      </w:r>
      <w:r w:rsidRPr="00503EC7">
        <w:rPr>
          <w:rFonts w:ascii="Courier New" w:hAnsi="Courier New" w:cs="Courier New"/>
          <w:noProof/>
          <w:color w:val="2B91AF"/>
          <w:sz w:val="16"/>
          <w:szCs w:val="16"/>
          <w:shd w:val="clear" w:color="auto" w:fill="DDD9C3" w:themeFill="background2" w:themeFillShade="E6"/>
        </w:rPr>
        <w:t xml:space="preserve"> </w:t>
      </w:r>
      <w:r w:rsidRPr="00503EC7">
        <w:rPr>
          <w:rFonts w:ascii="Courier New" w:hAnsi="Courier New" w:cs="Courier New"/>
          <w:noProof/>
          <w:color w:val="2B91AF"/>
          <w:sz w:val="16"/>
          <w:szCs w:val="16"/>
          <w:shd w:val="clear" w:color="auto" w:fill="DDD9C3" w:themeFill="background2" w:themeFillShade="E6"/>
        </w:rPr>
        <w:br/>
      </w:r>
      <w:r w:rsidRPr="00503EC7">
        <w:rPr>
          <w:rFonts w:ascii="Courier New" w:hAnsi="Courier New" w:cs="Courier New"/>
          <w:noProof/>
          <w:sz w:val="16"/>
          <w:szCs w:val="16"/>
          <w:shd w:val="clear" w:color="auto" w:fill="DDD9C3" w:themeFill="background2" w:themeFillShade="E6"/>
        </w:rPr>
        <w:t>container.Resolve&lt;</w:t>
      </w:r>
      <w:r w:rsidRPr="00503EC7">
        <w:rPr>
          <w:rFonts w:ascii="Courier New" w:hAnsi="Courier New" w:cs="Courier New"/>
          <w:noProof/>
          <w:color w:val="2B91AF"/>
          <w:sz w:val="16"/>
          <w:szCs w:val="16"/>
          <w:shd w:val="clear" w:color="auto" w:fill="DDD9C3" w:themeFill="background2" w:themeFillShade="E6"/>
        </w:rPr>
        <w:t>IBillingCust</w:t>
      </w:r>
      <w:r w:rsidRPr="00503EC7">
        <w:rPr>
          <w:rFonts w:ascii="Courier New" w:hAnsi="Courier New" w:cs="Courier New"/>
          <w:noProof/>
          <w:sz w:val="16"/>
          <w:szCs w:val="16"/>
          <w:shd w:val="clear" w:color="auto" w:fill="DDD9C3" w:themeFill="background2" w:themeFillShade="E6"/>
        </w:rPr>
        <w:t>&gt;(“CustomerView”);</w:t>
      </w:r>
      <w:r w:rsidRPr="00503EC7">
        <w:rPr>
          <w:rFonts w:ascii="Courier New" w:hAnsi="Courier New" w:cs="Courier New"/>
          <w:noProof/>
          <w:sz w:val="16"/>
          <w:szCs w:val="16"/>
          <w:shd w:val="clear" w:color="auto" w:fill="DDD9C3" w:themeFill="background2" w:themeFillShade="E6"/>
        </w:rPr>
        <w:br/>
      </w:r>
    </w:p>
    <w:sectPr w:rsidR="00AB3621" w:rsidRPr="00503EC7" w:rsidSect="00FE7901">
      <w:headerReference w:type="default" r:id="rId8"/>
      <w:pgSz w:w="12240" w:h="15840"/>
      <w:pgMar w:top="5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0EE1" w:rsidRDefault="008A0EE1" w:rsidP="009F4E50">
      <w:pPr>
        <w:spacing w:after="0" w:line="240" w:lineRule="auto"/>
      </w:pPr>
      <w:r>
        <w:separator/>
      </w:r>
    </w:p>
  </w:endnote>
  <w:endnote w:type="continuationSeparator" w:id="1">
    <w:p w:rsidR="008A0EE1" w:rsidRDefault="008A0EE1" w:rsidP="009F4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0EE1" w:rsidRDefault="008A0EE1" w:rsidP="009F4E50">
      <w:pPr>
        <w:spacing w:after="0" w:line="240" w:lineRule="auto"/>
      </w:pPr>
      <w:r>
        <w:separator/>
      </w:r>
    </w:p>
  </w:footnote>
  <w:footnote w:type="continuationSeparator" w:id="1">
    <w:p w:rsidR="008A0EE1" w:rsidRDefault="008A0EE1" w:rsidP="009F4E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E50" w:rsidRPr="00FE7901" w:rsidRDefault="009F4E50" w:rsidP="00FE7901">
    <w:pPr>
      <w:pBdr>
        <w:bottom w:val="single" w:sz="4" w:space="1" w:color="auto"/>
      </w:pBdr>
      <w:rPr>
        <w:b/>
        <w:sz w:val="28"/>
        <w:szCs w:val="28"/>
      </w:rPr>
    </w:pPr>
    <w:r w:rsidRPr="009F4E50">
      <w:rPr>
        <w:b/>
        <w:sz w:val="28"/>
        <w:szCs w:val="28"/>
      </w:rPr>
      <w:t xml:space="preserve">Unity </w:t>
    </w:r>
    <w:r w:rsidR="0006283D">
      <w:rPr>
        <w:b/>
        <w:sz w:val="28"/>
        <w:szCs w:val="28"/>
      </w:rPr>
      <w:t>Contributions</w:t>
    </w:r>
    <w:r w:rsidRPr="009F4E50">
      <w:rPr>
        <w:b/>
        <w:sz w:val="28"/>
        <w:szCs w:val="28"/>
      </w:rPr>
      <w:t xml:space="preserve"> - </w:t>
    </w:r>
    <w:r w:rsidR="00770BDF">
      <w:rPr>
        <w:b/>
        <w:sz w:val="28"/>
        <w:szCs w:val="28"/>
      </w:rPr>
      <w:t>Canonical</w:t>
    </w:r>
    <w:r w:rsidRPr="009F4E50">
      <w:rPr>
        <w:b/>
        <w:sz w:val="28"/>
        <w:szCs w:val="28"/>
      </w:rPr>
      <w:t xml:space="preserve"> Object Extension </w:t>
    </w:r>
    <w:r w:rsidRPr="009F4E50">
      <w:rPr>
        <w:b/>
        <w:sz w:val="28"/>
        <w:szCs w:val="28"/>
      </w:rPr>
      <w:tab/>
    </w:r>
    <w:r w:rsidRPr="009F4E50">
      <w:rPr>
        <w:b/>
        <w:sz w:val="28"/>
        <w:szCs w:val="28"/>
      </w:rPr>
      <w:tab/>
    </w:r>
    <w:r w:rsidRPr="009F4E50">
      <w:rPr>
        <w:b/>
        <w:sz w:val="28"/>
        <w:szCs w:val="28"/>
      </w:rPr>
      <w:tab/>
    </w:r>
    <w:r w:rsidR="00F75F2E">
      <w:rPr>
        <w:b/>
        <w:sz w:val="28"/>
        <w:szCs w:val="28"/>
      </w:rPr>
      <w:tab/>
    </w:r>
    <w:r w:rsidRPr="009F4E50">
      <w:rPr>
        <w:b/>
        <w:sz w:val="28"/>
        <w:szCs w:val="28"/>
      </w:rPr>
      <w:t>Quick Intro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C3E26"/>
    <w:multiLevelType w:val="hybridMultilevel"/>
    <w:tmpl w:val="D602B6E8"/>
    <w:lvl w:ilvl="0" w:tplc="A808CA7C">
      <w:numFmt w:val="bullet"/>
      <w:lvlText w:val="-"/>
      <w:lvlJc w:val="left"/>
      <w:pPr>
        <w:ind w:left="360" w:hanging="360"/>
      </w:pPr>
      <w:rPr>
        <w:rFonts w:ascii="Cambria-Bold" w:eastAsiaTheme="minorHAnsi" w:hAnsi="Cambria-Bold" w:cs="Cambria-Bold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B0B4D00"/>
    <w:multiLevelType w:val="hybridMultilevel"/>
    <w:tmpl w:val="89B0B844"/>
    <w:lvl w:ilvl="0" w:tplc="A808CA7C">
      <w:numFmt w:val="bullet"/>
      <w:lvlText w:val="-"/>
      <w:lvlJc w:val="left"/>
      <w:pPr>
        <w:ind w:left="720" w:hanging="360"/>
      </w:pPr>
      <w:rPr>
        <w:rFonts w:ascii="Cambria-Bold" w:eastAsiaTheme="minorHAnsi" w:hAnsi="Cambria-Bold" w:cs="Cambria-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1B7C4C"/>
    <w:multiLevelType w:val="hybridMultilevel"/>
    <w:tmpl w:val="ED5EB9D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FDC0C8F"/>
    <w:multiLevelType w:val="hybridMultilevel"/>
    <w:tmpl w:val="E6004892"/>
    <w:lvl w:ilvl="0" w:tplc="A808CA7C">
      <w:numFmt w:val="bullet"/>
      <w:lvlText w:val="-"/>
      <w:lvlJc w:val="left"/>
      <w:pPr>
        <w:ind w:left="720" w:hanging="360"/>
      </w:pPr>
      <w:rPr>
        <w:rFonts w:ascii="Cambria-Bold" w:eastAsiaTheme="minorHAnsi" w:hAnsi="Cambria-Bold" w:cs="Cambria-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060F28"/>
    <w:multiLevelType w:val="hybridMultilevel"/>
    <w:tmpl w:val="369A137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B47EDF"/>
    <w:multiLevelType w:val="hybridMultilevel"/>
    <w:tmpl w:val="9F1C62E2"/>
    <w:lvl w:ilvl="0" w:tplc="A808CA7C">
      <w:numFmt w:val="bullet"/>
      <w:lvlText w:val="-"/>
      <w:lvlJc w:val="left"/>
      <w:pPr>
        <w:ind w:left="720" w:hanging="360"/>
      </w:pPr>
      <w:rPr>
        <w:rFonts w:ascii="Cambria-Bold" w:eastAsiaTheme="minorHAnsi" w:hAnsi="Cambria-Bold" w:cs="Cambria-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3C31"/>
    <w:rsid w:val="0006283D"/>
    <w:rsid w:val="00097B14"/>
    <w:rsid w:val="001A16FF"/>
    <w:rsid w:val="003F5C09"/>
    <w:rsid w:val="00503EC7"/>
    <w:rsid w:val="00531DBF"/>
    <w:rsid w:val="0057336F"/>
    <w:rsid w:val="00583C31"/>
    <w:rsid w:val="0059359D"/>
    <w:rsid w:val="005A4070"/>
    <w:rsid w:val="005B2B78"/>
    <w:rsid w:val="00633F21"/>
    <w:rsid w:val="00753ECB"/>
    <w:rsid w:val="00770BDF"/>
    <w:rsid w:val="008A0EE1"/>
    <w:rsid w:val="00914EBB"/>
    <w:rsid w:val="00964296"/>
    <w:rsid w:val="009F4E50"/>
    <w:rsid w:val="00AB3621"/>
    <w:rsid w:val="00B56AE6"/>
    <w:rsid w:val="00BC3224"/>
    <w:rsid w:val="00C264FC"/>
    <w:rsid w:val="00C73E26"/>
    <w:rsid w:val="00EC217C"/>
    <w:rsid w:val="00F201E4"/>
    <w:rsid w:val="00F75F2E"/>
    <w:rsid w:val="00FE7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B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3C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F4E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F4E50"/>
  </w:style>
  <w:style w:type="paragraph" w:styleId="Footer">
    <w:name w:val="footer"/>
    <w:basedOn w:val="Normal"/>
    <w:link w:val="FooterChar"/>
    <w:uiPriority w:val="99"/>
    <w:semiHidden/>
    <w:unhideWhenUsed/>
    <w:rsid w:val="009F4E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F4E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A456C-DC85-4CEB-A1A6-CDB879A81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Alexander</cp:lastModifiedBy>
  <cp:revision>3</cp:revision>
  <cp:lastPrinted>2009-01-11T20:29:00Z</cp:lastPrinted>
  <dcterms:created xsi:type="dcterms:W3CDTF">2009-01-11T20:29:00Z</dcterms:created>
  <dcterms:modified xsi:type="dcterms:W3CDTF">2009-01-11T20:33:00Z</dcterms:modified>
</cp:coreProperties>
</file>