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04D" w:rsidRPr="00AD204D" w:rsidRDefault="00AD204D" w:rsidP="00CB0425">
      <w:pPr>
        <w:pStyle w:val="Title"/>
        <w:jc w:val="both"/>
      </w:pPr>
      <w:r>
        <w:t>Software development guide</w:t>
      </w:r>
    </w:p>
    <w:p w:rsidR="00FC0477" w:rsidRDefault="00AD204D" w:rsidP="00CB0425">
      <w:pPr>
        <w:jc w:val="both"/>
        <w:rPr>
          <w:rStyle w:val="SubtleEmphasis"/>
        </w:rPr>
      </w:pPr>
      <w:r w:rsidRPr="00AD204D">
        <w:rPr>
          <w:rStyle w:val="SubtleEmphasis"/>
        </w:rPr>
        <w:t xml:space="preserve">For </w:t>
      </w:r>
      <w:r>
        <w:rPr>
          <w:rStyle w:val="SubtleEmphasis"/>
        </w:rPr>
        <w:t>C# development</w:t>
      </w:r>
    </w:p>
    <w:p w:rsidR="00F37C0E" w:rsidRDefault="00F37C0E" w:rsidP="00CB0425">
      <w:pPr>
        <w:jc w:val="both"/>
      </w:pPr>
      <w:r>
        <w:t>In this guide main classes</w:t>
      </w:r>
      <w:r w:rsidR="00D60A6D">
        <w:t xml:space="preserve"> are explained</w:t>
      </w:r>
      <w:r>
        <w:t xml:space="preserve"> and </w:t>
      </w:r>
      <w:r w:rsidR="00D60A6D">
        <w:t xml:space="preserve">usage of </w:t>
      </w:r>
      <w:r>
        <w:t xml:space="preserve">this API </w:t>
      </w:r>
      <w:r w:rsidR="00451397">
        <w:t>in</w:t>
      </w:r>
      <w:r>
        <w:t xml:space="preserve"> software development</w:t>
      </w:r>
      <w:r w:rsidR="00D60A6D">
        <w:t xml:space="preserve"> is shown</w:t>
      </w:r>
      <w:r>
        <w:t xml:space="preserve">. Detailed class, method and event explanations can be found in the help file. Main classes explained </w:t>
      </w:r>
      <w:r w:rsidR="00451397">
        <w:t xml:space="preserve">here </w:t>
      </w:r>
      <w:r>
        <w:t xml:space="preserve">are </w:t>
      </w:r>
      <w:proofErr w:type="spellStart"/>
      <w:r>
        <w:t>TDTEngine</w:t>
      </w:r>
      <w:proofErr w:type="spellEnd"/>
      <w:r>
        <w:t>, Session and Presentation.</w:t>
      </w:r>
      <w:r w:rsidR="00884B2C">
        <w:t xml:space="preserve"> Basic implementation is explained with code samples.</w:t>
      </w:r>
      <w:r w:rsidR="007423ED">
        <w:t xml:space="preserve"> </w:t>
      </w:r>
      <w:r w:rsidR="00D60A6D">
        <w:t xml:space="preserve">It is </w:t>
      </w:r>
      <w:r w:rsidR="007423ED">
        <w:t>assume</w:t>
      </w:r>
      <w:r w:rsidR="00D60A6D">
        <w:t>d</w:t>
      </w:r>
      <w:r w:rsidR="007423ED">
        <w:t xml:space="preserve"> that the developer using this guide is familiar with </w:t>
      </w:r>
      <w:r w:rsidR="00D60A6D">
        <w:t>V</w:t>
      </w:r>
      <w:r w:rsidR="007423ED">
        <w:t xml:space="preserve">isual </w:t>
      </w:r>
      <w:r w:rsidR="00D60A6D">
        <w:t>S</w:t>
      </w:r>
      <w:r w:rsidR="007423ED">
        <w:t>tudio and can create mobile device solution and projects.</w:t>
      </w:r>
    </w:p>
    <w:p w:rsidR="00AD204D" w:rsidRDefault="00AD204D" w:rsidP="00CB0425">
      <w:pPr>
        <w:pStyle w:val="Heading1"/>
        <w:jc w:val="both"/>
      </w:pPr>
      <w:r>
        <w:t xml:space="preserve">Main </w:t>
      </w:r>
      <w:r w:rsidR="00FC0477">
        <w:t>classes</w:t>
      </w:r>
      <w:r>
        <w:t>:</w:t>
      </w:r>
    </w:p>
    <w:p w:rsidR="00E30198" w:rsidRPr="00E30198" w:rsidRDefault="00AD204D" w:rsidP="00CB0425">
      <w:pPr>
        <w:pStyle w:val="Heading2"/>
        <w:numPr>
          <w:ilvl w:val="0"/>
          <w:numId w:val="5"/>
        </w:numPr>
        <w:jc w:val="both"/>
      </w:pPr>
      <w:proofErr w:type="spellStart"/>
      <w:r>
        <w:t>TDTEngine</w:t>
      </w:r>
      <w:proofErr w:type="spellEnd"/>
    </w:p>
    <w:p w:rsidR="005650DC" w:rsidRDefault="00F2417E" w:rsidP="00CB0425">
      <w:pPr>
        <w:jc w:val="both"/>
      </w:pPr>
      <w:proofErr w:type="spellStart"/>
      <w:r>
        <w:t>TDTEngine</w:t>
      </w:r>
      <w:proofErr w:type="spellEnd"/>
      <w:r>
        <w:t xml:space="preserve"> is a translation library which provides methods for translating electronic product code (EPC) </w:t>
      </w:r>
      <w:proofErr w:type="gramStart"/>
      <w:r>
        <w:t>between</w:t>
      </w:r>
      <w:proofErr w:type="gramEnd"/>
      <w:r>
        <w:t xml:space="preserve"> various levels of representation including BINARY, TAG_ENCODING, PURE_IDENTITY and LEGACY formats.</w:t>
      </w:r>
      <w:r w:rsidR="005650DC">
        <w:t xml:space="preserve"> It</w:t>
      </w:r>
      <w:r w:rsidR="00E30198">
        <w:t xml:space="preserve"> translates input data to the specified outbound level of the same coding scheme. The input data value may be a tag-encoding URI and the outbound level may be binary in which case the return value is a binary representation on that URI.</w:t>
      </w:r>
      <w:r w:rsidR="005650DC">
        <w:t xml:space="preserve"> This library contains definitions for EPC tags and EPC observations.</w:t>
      </w:r>
    </w:p>
    <w:p w:rsidR="005650DC" w:rsidRDefault="005650DC" w:rsidP="00CB0425">
      <w:pPr>
        <w:jc w:val="both"/>
      </w:pPr>
      <w:r>
        <w:t xml:space="preserve">EPC observation is an object containing EPC code, date, </w:t>
      </w:r>
      <w:proofErr w:type="gramStart"/>
      <w:r>
        <w:t>RSSI</w:t>
      </w:r>
      <w:proofErr w:type="gramEnd"/>
      <w:r>
        <w:t xml:space="preserve"> and antenna properties. Data retrieved from the device is represented as collection of this object and is served through Presentation layer.</w:t>
      </w:r>
    </w:p>
    <w:p w:rsidR="00E30198" w:rsidRPr="00F2417E" w:rsidRDefault="00E30198" w:rsidP="00914F81">
      <w:pPr>
        <w:jc w:val="both"/>
      </w:pPr>
      <w:r>
        <w:t xml:space="preserve">EPC code is an electronic product code and it is represented in </w:t>
      </w:r>
      <w:proofErr w:type="spellStart"/>
      <w:r>
        <w:t>EPCCode</w:t>
      </w:r>
      <w:proofErr w:type="spellEnd"/>
      <w:r>
        <w:t xml:space="preserve"> class. When this class is created with input objects of binary data</w:t>
      </w:r>
      <w:r w:rsidR="004063DF">
        <w:t xml:space="preserve"> from RFID tag</w:t>
      </w:r>
      <w:r>
        <w:t xml:space="preserve"> or </w:t>
      </w:r>
      <w:r w:rsidR="00624A08">
        <w:t xml:space="preserve">GTIN </w:t>
      </w:r>
      <w:r>
        <w:t>14</w:t>
      </w:r>
      <w:r w:rsidR="00624A08">
        <w:t>, serial number and company prefix</w:t>
      </w:r>
      <w:r>
        <w:t xml:space="preserve"> types, data is translated into hexadecimal and binary data.</w:t>
      </w:r>
      <w:r w:rsidR="00624A08">
        <w:t xml:space="preserve"> It can be represented in binary, hexadecimal, tag encoding, pure identity </w:t>
      </w:r>
      <w:r w:rsidR="00BB6278">
        <w:t>URI</w:t>
      </w:r>
      <w:r w:rsidR="00624A08">
        <w:t xml:space="preserve">, </w:t>
      </w:r>
      <w:r w:rsidR="00BB6278">
        <w:t>Legacy or ONS hostname</w:t>
      </w:r>
      <w:r w:rsidR="00FC0477">
        <w:t xml:space="preserve"> level of representation.</w:t>
      </w:r>
      <w:r w:rsidR="00D81652">
        <w:t xml:space="preserve"> Conversion is done through EPC convert class which contains methods for translating EPC code from one level of representation to another.</w:t>
      </w:r>
    </w:p>
    <w:p w:rsidR="00AD204D" w:rsidRDefault="00AD204D" w:rsidP="00CB0425">
      <w:pPr>
        <w:pStyle w:val="Heading2"/>
        <w:numPr>
          <w:ilvl w:val="0"/>
          <w:numId w:val="5"/>
        </w:numPr>
        <w:jc w:val="both"/>
      </w:pPr>
      <w:r>
        <w:t>Session</w:t>
      </w:r>
    </w:p>
    <w:p w:rsidR="002D1280" w:rsidRDefault="00E30198" w:rsidP="00CB0425">
      <w:pPr>
        <w:jc w:val="both"/>
      </w:pPr>
      <w:r w:rsidRPr="00E30198">
        <w:t>Session layer is a</w:t>
      </w:r>
      <w:r>
        <w:t xml:space="preserve"> threaded</w:t>
      </w:r>
      <w:r w:rsidRPr="00E30198">
        <w:t xml:space="preserve"> layer </w:t>
      </w:r>
      <w:r w:rsidR="00E01344">
        <w:t>that</w:t>
      </w:r>
      <w:r w:rsidRPr="00E30198">
        <w:t xml:space="preserve"> deals with</w:t>
      </w:r>
      <w:r w:rsidR="00E01344">
        <w:t xml:space="preserve"> binary protocol</w:t>
      </w:r>
      <w:r w:rsidRPr="00E30198">
        <w:t xml:space="preserve"> communication over</w:t>
      </w:r>
      <w:r w:rsidR="00E01344">
        <w:t xml:space="preserve"> Bluetooth</w:t>
      </w:r>
      <w:r w:rsidR="00D60A6D">
        <w:t xml:space="preserve"> serial</w:t>
      </w:r>
      <w:r w:rsidRPr="00E30198">
        <w:t xml:space="preserve"> port, </w:t>
      </w:r>
      <w:r>
        <w:t xml:space="preserve">sending </w:t>
      </w:r>
      <w:r w:rsidRPr="00E30198">
        <w:t>commands</w:t>
      </w:r>
      <w:r w:rsidR="00D81652">
        <w:t xml:space="preserve"> using</w:t>
      </w:r>
      <w:r>
        <w:t xml:space="preserve"> communication queue</w:t>
      </w:r>
      <w:r w:rsidR="007525CD">
        <w:t>, parsing received data and</w:t>
      </w:r>
      <w:r w:rsidRPr="00E30198">
        <w:t xml:space="preserve"> </w:t>
      </w:r>
      <w:r w:rsidR="00D81652">
        <w:t>notifying through events</w:t>
      </w:r>
      <w:r w:rsidRPr="00E30198">
        <w:t>.</w:t>
      </w:r>
      <w:r>
        <w:t xml:space="preserve"> It is </w:t>
      </w:r>
      <w:r w:rsidRPr="00E30198">
        <w:t>used to c</w:t>
      </w:r>
      <w:r>
        <w:t xml:space="preserve">ommunicate with handheld reader and </w:t>
      </w:r>
      <w:r w:rsidR="00D60A6D">
        <w:t xml:space="preserve">to </w:t>
      </w:r>
      <w:r>
        <w:t>provide simple function calls for device commands. It contains public methods exposed for usage</w:t>
      </w:r>
      <w:r w:rsidR="00FC0477">
        <w:t xml:space="preserve"> if needed</w:t>
      </w:r>
      <w:r>
        <w:t xml:space="preserve"> but it is mainly </w:t>
      </w:r>
      <w:r w:rsidR="00D60A6D">
        <w:t>accessed</w:t>
      </w:r>
      <w:r>
        <w:t xml:space="preserve"> through presentation layer.</w:t>
      </w:r>
      <w:r w:rsidR="007525CD">
        <w:t xml:space="preserve"> </w:t>
      </w:r>
      <w:r w:rsidR="00D81652">
        <w:t>This layer uses interfaces for Communication Port, Communication Queue and Connection State.</w:t>
      </w:r>
    </w:p>
    <w:p w:rsidR="002D1280" w:rsidRDefault="002D1280" w:rsidP="00CB0425">
      <w:pPr>
        <w:jc w:val="both"/>
      </w:pPr>
      <w:r>
        <w:t xml:space="preserve">For connecting and pairing </w:t>
      </w:r>
      <w:proofErr w:type="gramStart"/>
      <w:r>
        <w:t>of !D</w:t>
      </w:r>
      <w:proofErr w:type="gramEnd"/>
      <w:r>
        <w:t xml:space="preserve"> Hand and the phone without user interaction (automatically) </w:t>
      </w:r>
      <w:proofErr w:type="spellStart"/>
      <w:r>
        <w:t>BluetoothCommunicationPort</w:t>
      </w:r>
      <w:proofErr w:type="spellEnd"/>
      <w:r>
        <w:t xml:space="preserve"> class can be used. This class implements </w:t>
      </w:r>
      <w:proofErr w:type="spellStart"/>
      <w:r>
        <w:t>ICommunicationPort</w:t>
      </w:r>
      <w:proofErr w:type="spellEnd"/>
      <w:r>
        <w:t xml:space="preserve"> and uses </w:t>
      </w:r>
      <w:hyperlink r:id="rId7" w:history="1">
        <w:r w:rsidRPr="00856682">
          <w:rPr>
            <w:rStyle w:val="Hyperlink"/>
          </w:rPr>
          <w:t>32feet.net</w:t>
        </w:r>
      </w:hyperlink>
      <w:r>
        <w:t xml:space="preserve"> library that provides support for Microsoft and Broadcom (</w:t>
      </w:r>
      <w:proofErr w:type="spellStart"/>
      <w:r>
        <w:t>Widcomm</w:t>
      </w:r>
      <w:proofErr w:type="spellEnd"/>
      <w:r>
        <w:t>) Bluetooth stacks.</w:t>
      </w:r>
    </w:p>
    <w:p w:rsidR="002D1280" w:rsidRDefault="002D1280" w:rsidP="00CB0425">
      <w:pPr>
        <w:jc w:val="both"/>
      </w:pPr>
      <w:r>
        <w:lastRenderedPageBreak/>
        <w:t xml:space="preserve">Other option is to use </w:t>
      </w:r>
      <w:proofErr w:type="spellStart"/>
      <w:r w:rsidR="00856682">
        <w:t>Serial</w:t>
      </w:r>
      <w:r w:rsidR="00D81652">
        <w:t>CommunicationPort</w:t>
      </w:r>
      <w:proofErr w:type="spellEnd"/>
      <w:r>
        <w:t xml:space="preserve"> class which</w:t>
      </w:r>
      <w:r w:rsidR="00D81652">
        <w:t xml:space="preserve"> wraps </w:t>
      </w:r>
      <w:proofErr w:type="spellStart"/>
      <w:r w:rsidR="00D81652">
        <w:t>SerialPort</w:t>
      </w:r>
      <w:proofErr w:type="spellEnd"/>
      <w:r w:rsidR="0086613A">
        <w:t xml:space="preserve"> class and </w:t>
      </w:r>
      <w:r>
        <w:t xml:space="preserve">also </w:t>
      </w:r>
      <w:r w:rsidR="0086613A">
        <w:t xml:space="preserve">implements </w:t>
      </w:r>
      <w:proofErr w:type="spellStart"/>
      <w:r w:rsidR="0086613A">
        <w:t>ICommunication</w:t>
      </w:r>
      <w:r w:rsidR="00856682">
        <w:t>Port</w:t>
      </w:r>
      <w:proofErr w:type="spellEnd"/>
      <w:r w:rsidR="0086613A">
        <w:t xml:space="preserve"> interface.</w:t>
      </w:r>
      <w:r w:rsidR="00856682">
        <w:t xml:space="preserve"> This implementation is Bluetooth stack independent, but requires a user to manually pair and connect phone </w:t>
      </w:r>
      <w:proofErr w:type="gramStart"/>
      <w:r w:rsidR="00856682">
        <w:t>to !D</w:t>
      </w:r>
      <w:proofErr w:type="gramEnd"/>
      <w:r w:rsidR="00856682">
        <w:t xml:space="preserve"> Hand </w:t>
      </w:r>
      <w:r>
        <w:t>Bluetooth</w:t>
      </w:r>
      <w:r w:rsidR="00856682">
        <w:t xml:space="preserve"> Serial Port.</w:t>
      </w:r>
    </w:p>
    <w:p w:rsidR="002D1280" w:rsidRDefault="0086613A" w:rsidP="00CB0425">
      <w:pPr>
        <w:jc w:val="both"/>
      </w:pPr>
      <w:r>
        <w:t xml:space="preserve">Communication Queue defines 2-way threaded communication queue which interacts with communication port and implements </w:t>
      </w:r>
      <w:proofErr w:type="spellStart"/>
      <w:r>
        <w:t>ICommunication</w:t>
      </w:r>
      <w:r w:rsidR="00CB0425">
        <w:t>Port</w:t>
      </w:r>
      <w:proofErr w:type="spellEnd"/>
      <w:r>
        <w:t xml:space="preserve"> interface</w:t>
      </w:r>
      <w:r w:rsidR="00CB0425">
        <w:t xml:space="preserve">, so that </w:t>
      </w:r>
      <w:proofErr w:type="spellStart"/>
      <w:r w:rsidR="00CB0425">
        <w:t>BluetoothCommunicationPort</w:t>
      </w:r>
      <w:proofErr w:type="spellEnd"/>
      <w:r w:rsidR="00CB0425">
        <w:t xml:space="preserve"> or </w:t>
      </w:r>
      <w:proofErr w:type="spellStart"/>
      <w:r w:rsidR="00CB0425">
        <w:t>SerialCommunicationPort</w:t>
      </w:r>
      <w:proofErr w:type="spellEnd"/>
      <w:r w:rsidR="00CB0425">
        <w:t xml:space="preserve"> class can be used</w:t>
      </w:r>
      <w:r w:rsidR="00914F81">
        <w:t xml:space="preserve"> as port implementation</w:t>
      </w:r>
      <w:r w:rsidR="002D1280">
        <w:t>.</w:t>
      </w:r>
    </w:p>
    <w:p w:rsidR="0086613A" w:rsidRPr="00F2417E" w:rsidRDefault="00CB0425" w:rsidP="00CB0425">
      <w:pPr>
        <w:jc w:val="both"/>
      </w:pPr>
      <w:proofErr w:type="spellStart"/>
      <w:r>
        <w:t>Connection</w:t>
      </w:r>
      <w:r w:rsidR="0086613A">
        <w:t>State</w:t>
      </w:r>
      <w:proofErr w:type="spellEnd"/>
      <w:r>
        <w:t xml:space="preserve"> class</w:t>
      </w:r>
      <w:r w:rsidR="0086613A">
        <w:t xml:space="preserve"> </w:t>
      </w:r>
      <w:r>
        <w:t>is used by the Session for connect/disconnect detection. It implements</w:t>
      </w:r>
      <w:r w:rsidRPr="00CB0425">
        <w:t xml:space="preserve"> </w:t>
      </w:r>
      <w:proofErr w:type="spellStart"/>
      <w:r>
        <w:t>IConnectionState</w:t>
      </w:r>
      <w:proofErr w:type="spellEnd"/>
      <w:r>
        <w:t xml:space="preserve"> interface</w:t>
      </w:r>
      <w:r w:rsidR="002D1280">
        <w:t>, and</w:t>
      </w:r>
      <w:r>
        <w:t xml:space="preserve"> </w:t>
      </w:r>
      <w:r w:rsidR="002D1280">
        <w:t>runs in se</w:t>
      </w:r>
      <w:r>
        <w:t xml:space="preserve">parate </w:t>
      </w:r>
      <w:r w:rsidR="0086613A">
        <w:t xml:space="preserve">thread </w:t>
      </w:r>
      <w:r>
        <w:t>that periodically sends/receives a message</w:t>
      </w:r>
      <w:r w:rsidR="002D1280">
        <w:t>.</w:t>
      </w:r>
      <w:r w:rsidR="0086613A">
        <w:t xml:space="preserve"> </w:t>
      </w:r>
    </w:p>
    <w:p w:rsidR="006C3053" w:rsidRDefault="00AD204D" w:rsidP="00CB0425">
      <w:pPr>
        <w:pStyle w:val="Heading2"/>
        <w:numPr>
          <w:ilvl w:val="0"/>
          <w:numId w:val="5"/>
        </w:numPr>
        <w:jc w:val="both"/>
      </w:pPr>
      <w:r>
        <w:t>Presentation</w:t>
      </w:r>
    </w:p>
    <w:p w:rsidR="007525CD" w:rsidRDefault="00F2417E" w:rsidP="00CB0425">
      <w:pPr>
        <w:jc w:val="both"/>
      </w:pPr>
      <w:r>
        <w:t xml:space="preserve">Presentation is a high-level communication layer used to communicate with </w:t>
      </w:r>
      <w:r w:rsidR="00914F81">
        <w:t xml:space="preserve">a </w:t>
      </w:r>
      <w:r>
        <w:t>handheld reader.</w:t>
      </w:r>
      <w:r w:rsidR="00BB6278">
        <w:t xml:space="preserve"> I</w:t>
      </w:r>
      <w:r w:rsidR="002D1280">
        <w:t>t</w:t>
      </w:r>
      <w:r w:rsidR="00BB6278">
        <w:t xml:space="preserve"> is built on top of the session layer and provides more sophisticated functionality. This layer functions</w:t>
      </w:r>
      <w:r w:rsidR="002D1280">
        <w:t xml:space="preserve"> are </w:t>
      </w:r>
      <w:r w:rsidR="00BB6278">
        <w:t xml:space="preserve">calling functions </w:t>
      </w:r>
      <w:r w:rsidR="002D1280">
        <w:t>from</w:t>
      </w:r>
      <w:r w:rsidR="00BB6278">
        <w:t xml:space="preserve"> session layer. Once </w:t>
      </w:r>
      <w:r w:rsidR="002D1280">
        <w:t>the</w:t>
      </w:r>
      <w:r w:rsidR="00BB6278">
        <w:t xml:space="preserve"> answer is obtained from the device, presentation layer is notified via event.</w:t>
      </w:r>
      <w:r w:rsidR="00FC0477">
        <w:t xml:space="preserve"> This layer contains public events and methods for all implemented functionality and it is accessed from GUI </w:t>
      </w:r>
      <w:r w:rsidR="002D1280">
        <w:t xml:space="preserve">layer of </w:t>
      </w:r>
      <w:r w:rsidR="00FC0477">
        <w:t>application.</w:t>
      </w:r>
      <w:r w:rsidR="00314052">
        <w:t xml:space="preserve"> Use of presentation lay</w:t>
      </w:r>
      <w:r w:rsidR="00914F81">
        <w:t xml:space="preserve">er is recommended for interaction with </w:t>
      </w:r>
      <w:r w:rsidR="00914F81" w:rsidRPr="00914F81">
        <w:t>handheld reader</w:t>
      </w:r>
      <w:r w:rsidR="00314052">
        <w:t>.</w:t>
      </w:r>
    </w:p>
    <w:p w:rsidR="00DB739C" w:rsidRDefault="00DB739C" w:rsidP="00CB0425">
      <w:pPr>
        <w:pStyle w:val="Heading1"/>
        <w:jc w:val="both"/>
      </w:pPr>
      <w:r>
        <w:t>Beginning development:</w:t>
      </w:r>
    </w:p>
    <w:p w:rsidR="005C180B" w:rsidRDefault="00914F81" w:rsidP="00CB0425">
      <w:pPr>
        <w:jc w:val="both"/>
        <w:rPr>
          <w:noProof/>
        </w:rPr>
      </w:pPr>
      <w:r>
        <w:t>D</w:t>
      </w:r>
      <w:r w:rsidR="00DB739C">
        <w:t xml:space="preserve">eveloping application based on this API </w:t>
      </w:r>
      <w:r>
        <w:t>requires few steps</w:t>
      </w:r>
      <w:r w:rsidR="00DB739C">
        <w:t xml:space="preserve"> in o</w:t>
      </w:r>
      <w:r w:rsidR="00AC1B30">
        <w:t>rder to get full functionality.</w:t>
      </w:r>
      <w:r w:rsidR="00D86F4C">
        <w:t xml:space="preserve"> </w:t>
      </w:r>
      <w:r w:rsidR="00D86F4C">
        <w:br/>
      </w:r>
      <w:r w:rsidR="00AC1B30">
        <w:t>First you need to add libraries to you project:</w:t>
      </w:r>
      <w:r w:rsidR="005C180B" w:rsidRPr="005C180B">
        <w:rPr>
          <w:noProof/>
        </w:rPr>
        <w:t xml:space="preserve"> </w:t>
      </w:r>
    </w:p>
    <w:p w:rsidR="005C180B" w:rsidRDefault="005C180B" w:rsidP="00CB0425">
      <w:pPr>
        <w:jc w:val="both"/>
      </w:pPr>
      <w:bookmarkStart w:id="0" w:name="_GoBack"/>
      <w:r>
        <w:rPr>
          <w:noProof/>
        </w:rPr>
        <mc:AlternateContent>
          <mc:Choice Requires="wps">
            <w:drawing>
              <wp:inline distT="0" distB="0" distL="0" distR="0" wp14:anchorId="082A9B3B" wp14:editId="6591D6C3">
                <wp:extent cx="5501030" cy="3650285"/>
                <wp:effectExtent l="0" t="0" r="23495" b="26670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030" cy="3650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80B" w:rsidRDefault="005C180B" w:rsidP="005C18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02CD42" wp14:editId="348901CE">
                                  <wp:extent cx="5058621" cy="3597215"/>
                                  <wp:effectExtent l="0" t="0" r="8890" b="381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dReference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66871" cy="36030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33.15pt;height:28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">
                <v:textbox>
                  <w:txbxContent>
                    <w:p w:rsidR="005C180B" w:rsidRDefault="005C180B" w:rsidP="005C180B">
                      <w:r>
                        <w:rPr>
                          <w:noProof/>
                        </w:rPr>
                        <w:drawing>
                          <wp:inline distT="0" distB="0" distL="0" distR="0" wp14:anchorId="0602CD42" wp14:editId="348901CE">
                            <wp:extent cx="5058621" cy="3597215"/>
                            <wp:effectExtent l="0" t="0" r="8890" b="381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dReference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66871" cy="36030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E31A35" w:rsidRDefault="00E31A35" w:rsidP="00E31A35">
      <w:pPr>
        <w:jc w:val="both"/>
      </w:pPr>
      <w:r>
        <w:lastRenderedPageBreak/>
        <w:t>Libraries that should be added are: InTheHand.Net.Personal.dll, log4net.dll, Nedap.EPC.TDT.dll, Nedap.HandheldApi.dll, statemap.dll.</w:t>
      </w:r>
      <w:r w:rsidR="00670AE8">
        <w:t xml:space="preserve"> </w:t>
      </w:r>
      <w:r>
        <w:t xml:space="preserve">InTheHand.Net.Personal.dll library requires native library 32feetWidcom.dll for </w:t>
      </w:r>
      <w:proofErr w:type="spellStart"/>
      <w:r>
        <w:t>Widcomm</w:t>
      </w:r>
      <w:proofErr w:type="spellEnd"/>
      <w:r>
        <w:t xml:space="preserve"> (Broadcom) Bluetooth stack support, and this library should be added as a file to project and in properties of this file ‘Copy to Output Directory’ should be set to ‘Copy always’</w:t>
      </w:r>
      <w:r w:rsidR="00670AE8">
        <w:t>, and ‘Build Action’ to ‘Content’.</w:t>
      </w:r>
    </w:p>
    <w:p w:rsidR="0056792D" w:rsidRDefault="00D86F4C" w:rsidP="00CB0425">
      <w:pPr>
        <w:jc w:val="both"/>
      </w:pPr>
      <w:r>
        <w:t xml:space="preserve">Next thing is to </w:t>
      </w:r>
      <w:r w:rsidR="00737638">
        <w:t xml:space="preserve">create </w:t>
      </w:r>
      <w:proofErr w:type="spellStart"/>
      <w:r w:rsidR="00737638">
        <w:t>TDTEngine</w:t>
      </w:r>
      <w:proofErr w:type="spellEnd"/>
      <w:r w:rsidR="00737638">
        <w:t xml:space="preserve"> </w:t>
      </w:r>
      <w:r>
        <w:t xml:space="preserve">object </w:t>
      </w:r>
      <w:r w:rsidR="00145098">
        <w:t xml:space="preserve">and Initialize it. It can be initialized without parameters or with parameters of </w:t>
      </w:r>
      <w:proofErr w:type="spellStart"/>
      <w:r w:rsidR="00145098">
        <w:t>XMLDefinitions</w:t>
      </w:r>
      <w:proofErr w:type="spellEnd"/>
      <w:r w:rsidR="00145098">
        <w:t xml:space="preserve"> type which is public enumerator in </w:t>
      </w:r>
      <w:proofErr w:type="spellStart"/>
      <w:r w:rsidR="00145098">
        <w:t>TDTEngine</w:t>
      </w:r>
      <w:proofErr w:type="spellEnd"/>
      <w:r w:rsidR="00145098">
        <w:t>. This list represents translation definitions XML files.</w:t>
      </w:r>
    </w:p>
    <w:p w:rsidR="00737638" w:rsidRDefault="00D86F4C" w:rsidP="00CB0425">
      <w:pPr>
        <w:jc w:val="both"/>
      </w:pPr>
      <w:r>
        <w:t xml:space="preserve">For usage of all available </w:t>
      </w:r>
      <w:r w:rsidR="00F31C10">
        <w:t>definitions Initialize</w:t>
      </w:r>
      <w:r>
        <w:t xml:space="preserve"> can be called </w:t>
      </w:r>
      <w:r w:rsidR="00F31C10">
        <w:t>without parameters:</w:t>
      </w:r>
    </w:p>
    <w:p w:rsidR="00F31C10" w:rsidRDefault="00E85F65" w:rsidP="00D86F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br/>
      </w:r>
      <w:r w:rsidR="00F31C10">
        <w:rPr>
          <w:rFonts w:ascii="Courier New" w:hAnsi="Courier New" w:cs="Courier New"/>
          <w:noProof/>
          <w:sz w:val="20"/>
          <w:szCs w:val="20"/>
        </w:rPr>
        <w:t>Nedap.EPC.TDT.</w:t>
      </w:r>
      <w:r w:rsidR="00F31C10">
        <w:rPr>
          <w:rFonts w:ascii="Courier New" w:hAnsi="Courier New" w:cs="Courier New"/>
          <w:noProof/>
          <w:color w:val="2B91AF"/>
          <w:sz w:val="20"/>
          <w:szCs w:val="20"/>
        </w:rPr>
        <w:t>TDTEngine</w:t>
      </w:r>
      <w:r w:rsidR="00F31C10">
        <w:rPr>
          <w:rFonts w:ascii="Courier New" w:hAnsi="Courier New" w:cs="Courier New"/>
          <w:noProof/>
          <w:sz w:val="20"/>
          <w:szCs w:val="20"/>
        </w:rPr>
        <w:t xml:space="preserve"> engine = </w:t>
      </w:r>
      <w:r w:rsidR="00F31C10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="00F31C10">
        <w:rPr>
          <w:rFonts w:ascii="Courier New" w:hAnsi="Courier New" w:cs="Courier New"/>
          <w:noProof/>
          <w:sz w:val="20"/>
          <w:szCs w:val="20"/>
        </w:rPr>
        <w:t xml:space="preserve"> Nedap.EPC.TDT.</w:t>
      </w:r>
      <w:r w:rsidR="00F31C10">
        <w:rPr>
          <w:rFonts w:ascii="Courier New" w:hAnsi="Courier New" w:cs="Courier New"/>
          <w:noProof/>
          <w:color w:val="2B91AF"/>
          <w:sz w:val="20"/>
          <w:szCs w:val="20"/>
        </w:rPr>
        <w:t>TDTEngine</w:t>
      </w:r>
      <w:r w:rsidR="00F31C10">
        <w:rPr>
          <w:rFonts w:ascii="Courier New" w:hAnsi="Courier New" w:cs="Courier New"/>
          <w:noProof/>
          <w:sz w:val="20"/>
          <w:szCs w:val="20"/>
        </w:rPr>
        <w:t>();</w:t>
      </w:r>
    </w:p>
    <w:p w:rsidR="00F31C10" w:rsidRDefault="00F31C10" w:rsidP="00D86F4C">
      <w:r>
        <w:rPr>
          <w:rFonts w:ascii="Courier New" w:hAnsi="Courier New" w:cs="Courier New"/>
          <w:noProof/>
          <w:sz w:val="20"/>
          <w:szCs w:val="20"/>
        </w:rPr>
        <w:t>engine.Initialize();</w:t>
      </w:r>
      <w:r w:rsidR="00E85F65">
        <w:rPr>
          <w:rFonts w:ascii="Courier New" w:hAnsi="Courier New" w:cs="Courier New"/>
          <w:noProof/>
          <w:sz w:val="20"/>
          <w:szCs w:val="20"/>
        </w:rPr>
        <w:br/>
      </w:r>
      <w:r w:rsidR="00E85F65">
        <w:rPr>
          <w:rFonts w:ascii="Courier New" w:hAnsi="Courier New" w:cs="Courier New"/>
          <w:noProof/>
          <w:color w:val="2B91AF"/>
          <w:sz w:val="20"/>
          <w:szCs w:val="20"/>
        </w:rPr>
        <w:t>…</w:t>
      </w:r>
    </w:p>
    <w:p w:rsidR="00F31C10" w:rsidRDefault="00D86F4C" w:rsidP="00CB0425">
      <w:pPr>
        <w:jc w:val="both"/>
      </w:pPr>
      <w:r>
        <w:t>For usage of</w:t>
      </w:r>
      <w:r w:rsidR="00F31C10">
        <w:t xml:space="preserve"> </w:t>
      </w:r>
      <w:r>
        <w:t>specific</w:t>
      </w:r>
      <w:r w:rsidR="00F31C10">
        <w:t xml:space="preserve"> definitions Initialize with</w:t>
      </w:r>
      <w:r>
        <w:t xml:space="preserve"> these </w:t>
      </w:r>
      <w:proofErr w:type="spellStart"/>
      <w:r>
        <w:t>XmlDefinitions</w:t>
      </w:r>
      <w:proofErr w:type="spellEnd"/>
      <w:r>
        <w:t xml:space="preserve"> can be called</w:t>
      </w:r>
      <w:r w:rsidR="00F31C10">
        <w:t>:</w:t>
      </w:r>
    </w:p>
    <w:p w:rsidR="00F31C10" w:rsidRDefault="00E85F65" w:rsidP="00D86F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br/>
      </w:r>
      <w:r w:rsidR="00F31C10">
        <w:rPr>
          <w:rFonts w:ascii="Courier New" w:hAnsi="Courier New" w:cs="Courier New"/>
          <w:noProof/>
          <w:sz w:val="20"/>
          <w:szCs w:val="20"/>
        </w:rPr>
        <w:t>Nedap.EPC.TDT.</w:t>
      </w:r>
      <w:r w:rsidR="00F31C10">
        <w:rPr>
          <w:rFonts w:ascii="Courier New" w:hAnsi="Courier New" w:cs="Courier New"/>
          <w:noProof/>
          <w:color w:val="2B91AF"/>
          <w:sz w:val="20"/>
          <w:szCs w:val="20"/>
        </w:rPr>
        <w:t>TDTEngine</w:t>
      </w:r>
      <w:r w:rsidR="00F31C10">
        <w:rPr>
          <w:rFonts w:ascii="Courier New" w:hAnsi="Courier New" w:cs="Courier New"/>
          <w:noProof/>
          <w:sz w:val="20"/>
          <w:szCs w:val="20"/>
        </w:rPr>
        <w:t xml:space="preserve"> engine = </w:t>
      </w:r>
      <w:r w:rsidR="00F31C10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="00F31C10">
        <w:rPr>
          <w:rFonts w:ascii="Courier New" w:hAnsi="Courier New" w:cs="Courier New"/>
          <w:noProof/>
          <w:sz w:val="20"/>
          <w:szCs w:val="20"/>
        </w:rPr>
        <w:t xml:space="preserve"> Nedap.EPC.TDT.</w:t>
      </w:r>
      <w:r w:rsidR="00F31C10">
        <w:rPr>
          <w:rFonts w:ascii="Courier New" w:hAnsi="Courier New" w:cs="Courier New"/>
          <w:noProof/>
          <w:color w:val="2B91AF"/>
          <w:sz w:val="20"/>
          <w:szCs w:val="20"/>
        </w:rPr>
        <w:t>TDTEngine</w:t>
      </w:r>
      <w:r w:rsidR="00F31C10">
        <w:rPr>
          <w:rFonts w:ascii="Courier New" w:hAnsi="Courier New" w:cs="Courier New"/>
          <w:noProof/>
          <w:sz w:val="20"/>
          <w:szCs w:val="20"/>
        </w:rPr>
        <w:t>();</w:t>
      </w:r>
    </w:p>
    <w:p w:rsidR="00F31C10" w:rsidRDefault="00F31C10" w:rsidP="00D86F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XmlDefinitions</w:t>
      </w:r>
      <w:r>
        <w:rPr>
          <w:rFonts w:ascii="Courier New" w:hAnsi="Courier New" w:cs="Courier New"/>
          <w:noProof/>
          <w:sz w:val="20"/>
          <w:szCs w:val="20"/>
        </w:rPr>
        <w:t xml:space="preserve">[] definitionsList = {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XmlDefinitions</w:t>
      </w:r>
      <w:r>
        <w:rPr>
          <w:rFonts w:ascii="Courier New" w:hAnsi="Courier New" w:cs="Courier New"/>
          <w:noProof/>
          <w:sz w:val="20"/>
          <w:szCs w:val="20"/>
        </w:rPr>
        <w:t xml:space="preserve">.SGLN_96,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XmlDefinitions</w:t>
      </w:r>
      <w:r>
        <w:rPr>
          <w:rFonts w:ascii="Courier New" w:hAnsi="Courier New" w:cs="Courier New"/>
          <w:noProof/>
          <w:sz w:val="20"/>
          <w:szCs w:val="20"/>
        </w:rPr>
        <w:t>.SGTIN_96 };</w:t>
      </w:r>
    </w:p>
    <w:p w:rsidR="00F31C10" w:rsidRDefault="00F31C10" w:rsidP="00D86F4C">
      <w:r>
        <w:rPr>
          <w:rFonts w:ascii="Courier New" w:hAnsi="Courier New" w:cs="Courier New"/>
          <w:noProof/>
          <w:sz w:val="20"/>
          <w:szCs w:val="20"/>
        </w:rPr>
        <w:t>engine.Initialize(definitionsList);</w:t>
      </w:r>
      <w:r w:rsidR="00E85F65">
        <w:rPr>
          <w:rFonts w:ascii="Courier New" w:hAnsi="Courier New" w:cs="Courier New"/>
          <w:noProof/>
          <w:sz w:val="20"/>
          <w:szCs w:val="20"/>
        </w:rPr>
        <w:br/>
      </w:r>
      <w:r w:rsidR="00E85F65">
        <w:rPr>
          <w:rFonts w:ascii="Courier New" w:hAnsi="Courier New" w:cs="Courier New"/>
          <w:noProof/>
          <w:color w:val="2B91AF"/>
          <w:sz w:val="20"/>
          <w:szCs w:val="20"/>
        </w:rPr>
        <w:t>…</w:t>
      </w:r>
    </w:p>
    <w:p w:rsidR="00B564EA" w:rsidRDefault="00D86F4C" w:rsidP="00CB0425">
      <w:pPr>
        <w:jc w:val="both"/>
      </w:pPr>
      <w:r>
        <w:t>Next step is to</w:t>
      </w:r>
      <w:r w:rsidR="00DB739C">
        <w:t xml:space="preserve"> </w:t>
      </w:r>
      <w:r w:rsidR="00AC1B30">
        <w:t xml:space="preserve">create </w:t>
      </w:r>
      <w:proofErr w:type="spellStart"/>
      <w:r>
        <w:t>I</w:t>
      </w:r>
      <w:r w:rsidR="00AC1B30">
        <w:t>CommunicationPort</w:t>
      </w:r>
      <w:proofErr w:type="spellEnd"/>
      <w:r w:rsidR="00AC1B30">
        <w:t xml:space="preserve">, Session and </w:t>
      </w:r>
      <w:proofErr w:type="spellStart"/>
      <w:r w:rsidR="00AC1B30">
        <w:t>PresentationFacade</w:t>
      </w:r>
      <w:proofErr w:type="spellEnd"/>
      <w:r w:rsidR="00AD6CC4">
        <w:t xml:space="preserve">. </w:t>
      </w:r>
    </w:p>
    <w:p w:rsidR="00B564EA" w:rsidRDefault="00E85F65" w:rsidP="00B56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br/>
      </w:r>
      <w:r w:rsidR="00B564EA"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 w:rsidR="00B564EA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B564EA">
        <w:rPr>
          <w:rFonts w:ascii="Courier New" w:hAnsi="Courier New" w:cs="Courier New"/>
          <w:noProof/>
          <w:color w:val="2B91AF"/>
          <w:sz w:val="20"/>
          <w:szCs w:val="20"/>
        </w:rPr>
        <w:t>ICommunicationPort</w:t>
      </w:r>
      <w:r w:rsidR="00B564EA">
        <w:rPr>
          <w:rFonts w:ascii="Courier New" w:hAnsi="Courier New" w:cs="Courier New"/>
          <w:noProof/>
          <w:sz w:val="20"/>
          <w:szCs w:val="20"/>
        </w:rPr>
        <w:t xml:space="preserve"> Port { </w:t>
      </w:r>
      <w:r w:rsidR="00B564EA">
        <w:rPr>
          <w:rFonts w:ascii="Courier New" w:hAnsi="Courier New" w:cs="Courier New"/>
          <w:noProof/>
          <w:color w:val="0000FF"/>
          <w:sz w:val="20"/>
          <w:szCs w:val="20"/>
        </w:rPr>
        <w:t>get</w:t>
      </w:r>
      <w:r w:rsidR="00B564EA">
        <w:rPr>
          <w:rFonts w:ascii="Courier New" w:hAnsi="Courier New" w:cs="Courier New"/>
          <w:noProof/>
          <w:sz w:val="20"/>
          <w:szCs w:val="20"/>
        </w:rPr>
        <w:t xml:space="preserve">; </w:t>
      </w:r>
      <w:r w:rsidR="00B564EA"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 w:rsidR="00B564EA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B564EA"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 w:rsidR="00B564EA">
        <w:rPr>
          <w:rFonts w:ascii="Courier New" w:hAnsi="Courier New" w:cs="Courier New"/>
          <w:noProof/>
          <w:sz w:val="20"/>
          <w:szCs w:val="20"/>
        </w:rPr>
        <w:t>; }</w:t>
      </w:r>
    </w:p>
    <w:p w:rsidR="00B564EA" w:rsidRDefault="00B564EA" w:rsidP="00B56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Session</w:t>
      </w:r>
      <w:r>
        <w:rPr>
          <w:rFonts w:ascii="Courier New" w:hAnsi="Courier New" w:cs="Courier New"/>
          <w:noProof/>
          <w:sz w:val="20"/>
          <w:szCs w:val="20"/>
        </w:rPr>
        <w:t xml:space="preserve"> Session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  <w:r>
        <w:rPr>
          <w:rFonts w:ascii="Courier New" w:hAnsi="Courier New" w:cs="Courier New"/>
          <w:noProof/>
          <w:sz w:val="20"/>
          <w:szCs w:val="20"/>
        </w:rPr>
        <w:t xml:space="preserve">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>; }</w:t>
      </w:r>
    </w:p>
    <w:p w:rsidR="00B564EA" w:rsidRDefault="00B564EA" w:rsidP="00B564EA"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PresentationFacade</w:t>
      </w:r>
      <w:r>
        <w:rPr>
          <w:rFonts w:ascii="Courier New" w:hAnsi="Courier New" w:cs="Courier New"/>
          <w:noProof/>
          <w:sz w:val="20"/>
          <w:szCs w:val="20"/>
        </w:rPr>
        <w:t xml:space="preserve"> Facade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  <w:r>
        <w:rPr>
          <w:rFonts w:ascii="Courier New" w:hAnsi="Courier New" w:cs="Courier New"/>
          <w:noProof/>
          <w:sz w:val="20"/>
          <w:szCs w:val="20"/>
        </w:rPr>
        <w:t xml:space="preserve">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>; }</w:t>
      </w:r>
      <w:r w:rsidR="00E85F65">
        <w:rPr>
          <w:rFonts w:ascii="Courier New" w:hAnsi="Courier New" w:cs="Courier New"/>
          <w:noProof/>
          <w:sz w:val="20"/>
          <w:szCs w:val="20"/>
        </w:rPr>
        <w:br/>
      </w:r>
      <w:r w:rsidR="00E85F65">
        <w:rPr>
          <w:rFonts w:ascii="Courier New" w:hAnsi="Courier New" w:cs="Courier New"/>
          <w:noProof/>
          <w:color w:val="2B91AF"/>
          <w:sz w:val="20"/>
          <w:szCs w:val="20"/>
        </w:rPr>
        <w:t>…</w:t>
      </w:r>
    </w:p>
    <w:p w:rsidR="0013589D" w:rsidRDefault="00AD6CC4" w:rsidP="00CB0425">
      <w:pPr>
        <w:jc w:val="both"/>
      </w:pPr>
      <w:r>
        <w:t>Here are two options</w:t>
      </w:r>
      <w:r w:rsidR="00AC1B30">
        <w:t>:</w:t>
      </w:r>
    </w:p>
    <w:p w:rsidR="00952DB9" w:rsidRDefault="00AD6CC4" w:rsidP="00952DB9">
      <w:pPr>
        <w:pStyle w:val="ListParagraph"/>
        <w:numPr>
          <w:ilvl w:val="0"/>
          <w:numId w:val="7"/>
        </w:numPr>
        <w:jc w:val="both"/>
      </w:pPr>
      <w:r>
        <w:t xml:space="preserve">If the phone uses Microsoft or </w:t>
      </w:r>
      <w:proofErr w:type="spellStart"/>
      <w:r>
        <w:t>Widcomm</w:t>
      </w:r>
      <w:proofErr w:type="spellEnd"/>
      <w:r>
        <w:t xml:space="preserve"> (Broadcom) Bluetooth stack (32feet.net library), device discovery, pairing and connecting (implemented in </w:t>
      </w:r>
      <w:proofErr w:type="spellStart"/>
      <w:r>
        <w:t>BluetoothCommunicationPort</w:t>
      </w:r>
      <w:proofErr w:type="spellEnd"/>
      <w:r>
        <w:t>) can be done without user interaction:</w:t>
      </w:r>
      <w:r w:rsidR="00B564EA" w:rsidRPr="00B564EA">
        <w:t xml:space="preserve"> </w:t>
      </w:r>
    </w:p>
    <w:p w:rsidR="00952DB9" w:rsidRDefault="00E85F65" w:rsidP="00952D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br/>
      </w:r>
      <w:r w:rsidR="00952DB9">
        <w:rPr>
          <w:rFonts w:ascii="Courier New" w:hAnsi="Courier New" w:cs="Courier New"/>
          <w:noProof/>
          <w:sz w:val="20"/>
          <w:szCs w:val="20"/>
        </w:rPr>
        <w:t xml:space="preserve">Port = </w:t>
      </w:r>
      <w:r w:rsidR="00952DB9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="00952DB9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952DB9">
        <w:rPr>
          <w:rFonts w:ascii="Courier New" w:hAnsi="Courier New" w:cs="Courier New"/>
          <w:noProof/>
          <w:color w:val="2B91AF"/>
          <w:sz w:val="20"/>
          <w:szCs w:val="20"/>
        </w:rPr>
        <w:t>BluetoothCommunicationPort</w:t>
      </w:r>
      <w:r w:rsidR="00952DB9">
        <w:rPr>
          <w:rFonts w:ascii="Courier New" w:hAnsi="Courier New" w:cs="Courier New"/>
          <w:noProof/>
          <w:sz w:val="20"/>
          <w:szCs w:val="20"/>
        </w:rPr>
        <w:t>();</w:t>
      </w:r>
    </w:p>
    <w:p w:rsidR="00952DB9" w:rsidRDefault="00952DB9" w:rsidP="00952D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Session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Session</w:t>
      </w:r>
      <w:r>
        <w:rPr>
          <w:rFonts w:ascii="Courier New" w:hAnsi="Courier New" w:cs="Courier New"/>
          <w:noProof/>
          <w:sz w:val="20"/>
          <w:szCs w:val="20"/>
        </w:rPr>
        <w:t xml:space="preserve">(Port,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952DB9" w:rsidRDefault="00952DB9" w:rsidP="00952DB9">
      <w:r w:rsidRPr="00B564EA">
        <w:rPr>
          <w:rFonts w:ascii="Courier New" w:hAnsi="Courier New" w:cs="Courier New"/>
          <w:noProof/>
          <w:sz w:val="20"/>
          <w:szCs w:val="20"/>
        </w:rPr>
        <w:t xml:space="preserve">Facade = </w:t>
      </w:r>
      <w:r w:rsidRPr="00B564EA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Pr="00B564EA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564EA">
        <w:rPr>
          <w:rFonts w:ascii="Courier New" w:hAnsi="Courier New" w:cs="Courier New"/>
          <w:noProof/>
          <w:color w:val="2B91AF"/>
          <w:sz w:val="20"/>
          <w:szCs w:val="20"/>
        </w:rPr>
        <w:t>PresentationFacade</w:t>
      </w:r>
      <w:r w:rsidRPr="00B564EA">
        <w:rPr>
          <w:rFonts w:ascii="Courier New" w:hAnsi="Courier New" w:cs="Courier New"/>
          <w:noProof/>
          <w:sz w:val="20"/>
          <w:szCs w:val="20"/>
        </w:rPr>
        <w:t>(Session);</w:t>
      </w:r>
      <w:r w:rsidR="00E85F65">
        <w:rPr>
          <w:rFonts w:ascii="Courier New" w:hAnsi="Courier New" w:cs="Courier New"/>
          <w:noProof/>
          <w:sz w:val="20"/>
          <w:szCs w:val="20"/>
        </w:rPr>
        <w:br/>
      </w:r>
      <w:r w:rsidR="00E85F65">
        <w:rPr>
          <w:rFonts w:ascii="Courier New" w:hAnsi="Courier New" w:cs="Courier New"/>
          <w:noProof/>
          <w:color w:val="2B91AF"/>
          <w:sz w:val="20"/>
          <w:szCs w:val="20"/>
        </w:rPr>
        <w:t>…</w:t>
      </w:r>
    </w:p>
    <w:p w:rsidR="00B564EA" w:rsidRDefault="00B564EA" w:rsidP="00952DB9">
      <w:pPr>
        <w:pStyle w:val="ListParagraph"/>
        <w:numPr>
          <w:ilvl w:val="0"/>
          <w:numId w:val="7"/>
        </w:numPr>
        <w:jc w:val="both"/>
      </w:pPr>
      <w:r>
        <w:t xml:space="preserve">If the phone does not support mentioned Bluetooth stacks, </w:t>
      </w:r>
      <w:proofErr w:type="spellStart"/>
      <w:r>
        <w:t>SerialCommunicationPort</w:t>
      </w:r>
      <w:proofErr w:type="spellEnd"/>
      <w:r>
        <w:t xml:space="preserve"> class can be used. This approach requires the user to use target phone Bluetooth software to manually discover, pair and connect to </w:t>
      </w:r>
      <w:proofErr w:type="gramStart"/>
      <w:r>
        <w:t>the !D</w:t>
      </w:r>
      <w:proofErr w:type="gramEnd"/>
      <w:r>
        <w:t xml:space="preserve"> Hand Bluetooth Serial Port.</w:t>
      </w:r>
      <w:r w:rsidRPr="00B564EA">
        <w:t xml:space="preserve"> </w:t>
      </w:r>
      <w:r>
        <w:t>Port name (</w:t>
      </w:r>
      <w:proofErr w:type="spellStart"/>
      <w:r>
        <w:t>portName</w:t>
      </w:r>
      <w:proofErr w:type="spellEnd"/>
      <w:r>
        <w:t xml:space="preserve">) is the name of the </w:t>
      </w:r>
      <w:proofErr w:type="spellStart"/>
      <w:r w:rsidRPr="0013589D">
        <w:t>System.IO.Ports</w:t>
      </w:r>
      <w:r>
        <w:t>.SerialPort</w:t>
      </w:r>
      <w:proofErr w:type="spellEnd"/>
      <w:r>
        <w:t xml:space="preserve"> </w:t>
      </w:r>
      <w:r w:rsidR="00952DB9">
        <w:t xml:space="preserve">that is used to connect to </w:t>
      </w:r>
      <w:r w:rsidR="00670AE8">
        <w:t xml:space="preserve">the </w:t>
      </w:r>
      <w:r w:rsidR="00952DB9">
        <w:t>handheld reader (e.g.</w:t>
      </w:r>
      <w:r>
        <w:t xml:space="preserve"> </w:t>
      </w:r>
      <w:r>
        <w:lastRenderedPageBreak/>
        <w:t>“COM1”)</w:t>
      </w:r>
      <w:r w:rsidR="00670AE8">
        <w:t xml:space="preserve">. Note that port name can be provided from UI and that user should select COM port used to connect to </w:t>
      </w:r>
      <w:proofErr w:type="gramStart"/>
      <w:r w:rsidR="00670AE8">
        <w:t>the !D</w:t>
      </w:r>
      <w:proofErr w:type="gramEnd"/>
      <w:r w:rsidR="00670AE8">
        <w:t xml:space="preserve"> Hand.</w:t>
      </w:r>
    </w:p>
    <w:p w:rsidR="00E85F65" w:rsidRPr="00E85F65" w:rsidRDefault="00E85F65" w:rsidP="00B564EA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br/>
      </w:r>
      <w:r w:rsidR="00B564EA" w:rsidRPr="00B564EA">
        <w:rPr>
          <w:rFonts w:ascii="Courier New" w:hAnsi="Courier New" w:cs="Courier New"/>
          <w:noProof/>
          <w:sz w:val="20"/>
          <w:szCs w:val="20"/>
        </w:rPr>
        <w:t xml:space="preserve">Port = </w:t>
      </w:r>
      <w:r w:rsidR="00B564EA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="00B564EA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B564EA">
        <w:rPr>
          <w:rFonts w:ascii="Courier New" w:hAnsi="Courier New" w:cs="Courier New"/>
          <w:noProof/>
          <w:color w:val="2B91AF"/>
          <w:sz w:val="20"/>
          <w:szCs w:val="20"/>
        </w:rPr>
        <w:t>SerialCommunicationPort</w:t>
      </w:r>
      <w:r w:rsidR="00B564EA">
        <w:rPr>
          <w:rFonts w:ascii="Courier New" w:hAnsi="Courier New" w:cs="Courier New"/>
          <w:noProof/>
          <w:sz w:val="20"/>
          <w:szCs w:val="20"/>
        </w:rPr>
        <w:t xml:space="preserve">(portName, 9600, </w:t>
      </w:r>
      <w:r w:rsidR="00B564EA">
        <w:rPr>
          <w:rFonts w:ascii="Courier New" w:hAnsi="Courier New" w:cs="Courier New"/>
          <w:noProof/>
          <w:color w:val="2B91AF"/>
          <w:sz w:val="20"/>
          <w:szCs w:val="20"/>
        </w:rPr>
        <w:t>Parity</w:t>
      </w:r>
      <w:r w:rsidR="00B564EA">
        <w:rPr>
          <w:rFonts w:ascii="Courier New" w:hAnsi="Courier New" w:cs="Courier New"/>
          <w:noProof/>
          <w:sz w:val="20"/>
          <w:szCs w:val="20"/>
        </w:rPr>
        <w:t xml:space="preserve">.None, 8, </w:t>
      </w:r>
      <w:r w:rsidR="00B564EA">
        <w:rPr>
          <w:rFonts w:ascii="Courier New" w:hAnsi="Courier New" w:cs="Courier New"/>
          <w:noProof/>
          <w:color w:val="2B91AF"/>
          <w:sz w:val="20"/>
          <w:szCs w:val="20"/>
        </w:rPr>
        <w:t>StopBits</w:t>
      </w:r>
      <w:r w:rsidR="00B564EA">
        <w:rPr>
          <w:rFonts w:ascii="Courier New" w:hAnsi="Courier New" w:cs="Courier New"/>
          <w:noProof/>
          <w:sz w:val="20"/>
          <w:szCs w:val="20"/>
        </w:rPr>
        <w:t>.One);</w:t>
      </w:r>
      <w:r w:rsidR="00B564EA">
        <w:rPr>
          <w:rFonts w:ascii="Courier New" w:hAnsi="Courier New" w:cs="Courier New"/>
          <w:noProof/>
          <w:sz w:val="20"/>
          <w:szCs w:val="20"/>
        </w:rPr>
        <w:br/>
      </w:r>
      <w:r w:rsidR="00B564EA" w:rsidRPr="00B564EA">
        <w:rPr>
          <w:rFonts w:ascii="Courier New" w:hAnsi="Courier New" w:cs="Courier New"/>
          <w:noProof/>
          <w:sz w:val="20"/>
          <w:szCs w:val="20"/>
        </w:rPr>
        <w:t xml:space="preserve">Session = </w:t>
      </w:r>
      <w:r w:rsidR="00B564EA" w:rsidRPr="00B564EA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="00B564EA" w:rsidRPr="00B564EA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B564EA" w:rsidRPr="00B564EA">
        <w:rPr>
          <w:rFonts w:ascii="Courier New" w:hAnsi="Courier New" w:cs="Courier New"/>
          <w:noProof/>
          <w:color w:val="2B91AF"/>
          <w:sz w:val="20"/>
          <w:szCs w:val="20"/>
        </w:rPr>
        <w:t>Session</w:t>
      </w:r>
      <w:r w:rsidR="00B564EA" w:rsidRPr="00B564EA">
        <w:rPr>
          <w:rFonts w:ascii="Courier New" w:hAnsi="Courier New" w:cs="Courier New"/>
          <w:noProof/>
          <w:sz w:val="20"/>
          <w:szCs w:val="20"/>
        </w:rPr>
        <w:t xml:space="preserve">(Port, </w:t>
      </w:r>
      <w:r w:rsidR="00B564EA" w:rsidRPr="00B564EA"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 w:rsidR="00B564EA" w:rsidRPr="00B564EA">
        <w:rPr>
          <w:rFonts w:ascii="Courier New" w:hAnsi="Courier New" w:cs="Courier New"/>
          <w:noProof/>
          <w:sz w:val="20"/>
          <w:szCs w:val="20"/>
        </w:rPr>
        <w:t>);</w:t>
      </w:r>
      <w:r w:rsidR="00B564EA">
        <w:rPr>
          <w:rFonts w:ascii="Courier New" w:hAnsi="Courier New" w:cs="Courier New"/>
          <w:noProof/>
          <w:sz w:val="20"/>
          <w:szCs w:val="20"/>
        </w:rPr>
        <w:br/>
        <w:t xml:space="preserve">Facade = </w:t>
      </w:r>
      <w:r w:rsidR="00B564EA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="00B564EA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B564EA">
        <w:rPr>
          <w:rFonts w:ascii="Courier New" w:hAnsi="Courier New" w:cs="Courier New"/>
          <w:noProof/>
          <w:color w:val="2B91AF"/>
          <w:sz w:val="20"/>
          <w:szCs w:val="20"/>
        </w:rPr>
        <w:t>PresentationFacade</w:t>
      </w:r>
      <w:r w:rsidR="00B564EA">
        <w:rPr>
          <w:rFonts w:ascii="Courier New" w:hAnsi="Courier New" w:cs="Courier New"/>
          <w:noProof/>
          <w:sz w:val="20"/>
          <w:szCs w:val="20"/>
        </w:rPr>
        <w:t>(Session);</w:t>
      </w:r>
      <w:r>
        <w:rPr>
          <w:rFonts w:ascii="Courier New" w:hAnsi="Courier New" w:cs="Courier New"/>
          <w:noProof/>
          <w:sz w:val="20"/>
          <w:szCs w:val="20"/>
        </w:rPr>
        <w:br/>
      </w: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</w:p>
    <w:p w:rsidR="00670AE8" w:rsidRDefault="00670AE8" w:rsidP="00CB0425">
      <w:pPr>
        <w:jc w:val="both"/>
      </w:pPr>
      <w:r>
        <w:t xml:space="preserve">A universal solution would be to try to instantiate </w:t>
      </w:r>
      <w:proofErr w:type="spellStart"/>
      <w:r>
        <w:t>BluetoothCommunicationPort</w:t>
      </w:r>
      <w:proofErr w:type="spellEnd"/>
      <w:r>
        <w:t xml:space="preserve">, and if platform is not supported an exception would be thrown. This exception can be catch, and fallback to </w:t>
      </w:r>
      <w:proofErr w:type="spellStart"/>
      <w:r>
        <w:t>SerialPort</w:t>
      </w:r>
      <w:proofErr w:type="spellEnd"/>
      <w:r>
        <w:t xml:space="preserve"> class can be done. With this approach more robust solution can be created.</w:t>
      </w:r>
    </w:p>
    <w:p w:rsidR="00AD2651" w:rsidRDefault="00952DB9" w:rsidP="00CB0425">
      <w:pPr>
        <w:jc w:val="both"/>
      </w:pPr>
      <w:r>
        <w:t xml:space="preserve">After these steps interaction </w:t>
      </w:r>
      <w:proofErr w:type="gramStart"/>
      <w:r>
        <w:t>with !D</w:t>
      </w:r>
      <w:proofErr w:type="gramEnd"/>
      <w:r>
        <w:t xml:space="preserve"> Hand can be</w:t>
      </w:r>
      <w:r w:rsidR="00DB739C">
        <w:t xml:space="preserve"> done through </w:t>
      </w:r>
      <w:proofErr w:type="spellStart"/>
      <w:r w:rsidR="00DB739C">
        <w:t>PresentationFacade</w:t>
      </w:r>
      <w:proofErr w:type="spellEnd"/>
      <w:r>
        <w:t xml:space="preserve"> with method calls and event handling.</w:t>
      </w:r>
      <w:r w:rsidR="00A12276">
        <w:t xml:space="preserve"> For example, for reading </w:t>
      </w:r>
      <w:proofErr w:type="spellStart"/>
      <w:r w:rsidR="00A12276">
        <w:t>Rfid</w:t>
      </w:r>
      <w:proofErr w:type="spellEnd"/>
      <w:r w:rsidR="00A12276">
        <w:t xml:space="preserve"> tags these calls should be made: </w:t>
      </w:r>
    </w:p>
    <w:p w:rsidR="00A12276" w:rsidRDefault="00E85F65" w:rsidP="00A12276">
      <w:pPr>
        <w:pStyle w:val="ListParagraph"/>
        <w:numPr>
          <w:ilvl w:val="0"/>
          <w:numId w:val="9"/>
        </w:numPr>
        <w:jc w:val="both"/>
      </w:pPr>
      <w:r>
        <w:t xml:space="preserve">Subscribe to event, and enter </w:t>
      </w:r>
      <w:proofErr w:type="spellStart"/>
      <w:r>
        <w:t>RfidInventoryStart</w:t>
      </w:r>
      <w:proofErr w:type="spellEnd"/>
      <w:r>
        <w:t xml:space="preserve"> state (!D Hand is ready for reading)</w:t>
      </w:r>
    </w:p>
    <w:p w:rsidR="00952DB9" w:rsidRDefault="00E85F65" w:rsidP="00952DB9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br/>
      </w:r>
      <w:r w:rsidR="00AD2651">
        <w:rPr>
          <w:rFonts w:ascii="Courier New" w:hAnsi="Courier New" w:cs="Courier New"/>
          <w:noProof/>
          <w:color w:val="2B91AF"/>
          <w:sz w:val="20"/>
          <w:szCs w:val="20"/>
        </w:rPr>
        <w:t>Program</w:t>
      </w:r>
      <w:r w:rsidR="00AD2651">
        <w:rPr>
          <w:rFonts w:ascii="Courier New" w:hAnsi="Courier New" w:cs="Courier New"/>
          <w:noProof/>
          <w:sz w:val="20"/>
          <w:szCs w:val="20"/>
        </w:rPr>
        <w:t xml:space="preserve">.Controller.Facade.OnReadRfidTag += </w:t>
      </w:r>
      <w:r w:rsidR="00AD2651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="00AD2651">
        <w:rPr>
          <w:rFonts w:ascii="Courier New" w:hAnsi="Courier New" w:cs="Courier New"/>
          <w:noProof/>
          <w:sz w:val="20"/>
          <w:szCs w:val="20"/>
        </w:rPr>
        <w:t xml:space="preserve"> System.</w:t>
      </w:r>
      <w:r w:rsidR="00AD2651">
        <w:rPr>
          <w:rFonts w:ascii="Courier New" w:hAnsi="Courier New" w:cs="Courier New"/>
          <w:noProof/>
          <w:color w:val="2B91AF"/>
          <w:sz w:val="20"/>
          <w:szCs w:val="20"/>
        </w:rPr>
        <w:t>EventHandler</w:t>
      </w:r>
      <w:r w:rsidR="00AD2651">
        <w:rPr>
          <w:rFonts w:ascii="Courier New" w:hAnsi="Courier New" w:cs="Courier New"/>
          <w:noProof/>
          <w:sz w:val="20"/>
          <w:szCs w:val="20"/>
        </w:rPr>
        <w:t>&lt;</w:t>
      </w:r>
      <w:r w:rsidR="00AD2651">
        <w:rPr>
          <w:rFonts w:ascii="Courier New" w:hAnsi="Courier New" w:cs="Courier New"/>
          <w:noProof/>
          <w:color w:val="2B91AF"/>
          <w:sz w:val="20"/>
          <w:szCs w:val="20"/>
        </w:rPr>
        <w:t>ReadRfidTagEventArgs</w:t>
      </w:r>
      <w:r w:rsidR="00AD2651">
        <w:rPr>
          <w:rFonts w:ascii="Courier New" w:hAnsi="Courier New" w:cs="Courier New"/>
          <w:noProof/>
          <w:sz w:val="20"/>
          <w:szCs w:val="20"/>
        </w:rPr>
        <w:t>&gt;(facade_OnReadRfidTag);</w:t>
      </w:r>
      <w:r w:rsidR="00952DB9">
        <w:rPr>
          <w:rFonts w:ascii="Courier New" w:hAnsi="Courier New" w:cs="Courier New"/>
          <w:noProof/>
          <w:sz w:val="20"/>
          <w:szCs w:val="20"/>
        </w:rPr>
        <w:br/>
      </w:r>
      <w:r w:rsidR="00F37C0E">
        <w:rPr>
          <w:rFonts w:ascii="Courier New" w:hAnsi="Courier New" w:cs="Courier New"/>
          <w:noProof/>
          <w:color w:val="2B91AF"/>
          <w:sz w:val="20"/>
          <w:szCs w:val="20"/>
        </w:rPr>
        <w:t>Program</w:t>
      </w:r>
      <w:r w:rsidR="00F37C0E">
        <w:rPr>
          <w:rFonts w:ascii="Courier New" w:hAnsi="Courier New" w:cs="Courier New"/>
          <w:noProof/>
          <w:sz w:val="20"/>
          <w:szCs w:val="20"/>
        </w:rPr>
        <w:t>.Controller.Facade.RfidInventoryStart();</w:t>
      </w:r>
      <w:r>
        <w:rPr>
          <w:rFonts w:ascii="Courier New" w:hAnsi="Courier New" w:cs="Courier New"/>
          <w:noProof/>
          <w:sz w:val="20"/>
          <w:szCs w:val="20"/>
        </w:rPr>
        <w:br/>
      </w: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</w:p>
    <w:p w:rsidR="00A12276" w:rsidRDefault="00A12276" w:rsidP="00A12276">
      <w:pPr>
        <w:pStyle w:val="ListParagraph"/>
        <w:numPr>
          <w:ilvl w:val="0"/>
          <w:numId w:val="9"/>
        </w:numPr>
        <w:jc w:val="both"/>
      </w:pPr>
      <w:r>
        <w:t>event handler, and delegate</w:t>
      </w:r>
      <w:r w:rsidR="00E85F65">
        <w:t xml:space="preserve"> for UI update</w:t>
      </w:r>
      <w:r>
        <w:t xml:space="preserve"> (note that </w:t>
      </w:r>
      <w:proofErr w:type="spellStart"/>
      <w:r>
        <w:t>BeginInvoke</w:t>
      </w:r>
      <w:proofErr w:type="spellEnd"/>
      <w:r>
        <w:t xml:space="preserve"> should be used since this event is triggered from another thread)</w:t>
      </w:r>
    </w:p>
    <w:p w:rsidR="00A12276" w:rsidRDefault="00E85F65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br/>
      </w:r>
      <w:r w:rsidR="00A12276"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 w:rsidR="00A12276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A12276"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 w:rsidR="00A12276">
        <w:rPr>
          <w:rFonts w:ascii="Courier New" w:hAnsi="Courier New" w:cs="Courier New"/>
          <w:noProof/>
          <w:sz w:val="20"/>
          <w:szCs w:val="20"/>
        </w:rPr>
        <w:t xml:space="preserve"> facade_OnReadRfidTag(</w:t>
      </w:r>
      <w:r w:rsidR="00A12276"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 w:rsidR="00A12276">
        <w:rPr>
          <w:rFonts w:ascii="Courier New" w:hAnsi="Courier New" w:cs="Courier New"/>
          <w:noProof/>
          <w:sz w:val="20"/>
          <w:szCs w:val="20"/>
        </w:rPr>
        <w:t xml:space="preserve"> sender, </w:t>
      </w:r>
      <w:r w:rsidR="00A12276">
        <w:rPr>
          <w:rFonts w:ascii="Courier New" w:hAnsi="Courier New" w:cs="Courier New"/>
          <w:noProof/>
          <w:color w:val="2B91AF"/>
          <w:sz w:val="20"/>
          <w:szCs w:val="20"/>
        </w:rPr>
        <w:t>ReadRfidTagEventArgs</w:t>
      </w:r>
      <w:r w:rsidR="00A12276"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A12276" w:rsidRDefault="00A12276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12276" w:rsidRDefault="00A12276" w:rsidP="00A1227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.BeginInvoke(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UpdateUIDelegate</w:t>
      </w:r>
      <w:r>
        <w:rPr>
          <w:rFonts w:ascii="Courier New" w:hAnsi="Courier New" w:cs="Courier New"/>
          <w:noProof/>
          <w:sz w:val="20"/>
          <w:szCs w:val="20"/>
        </w:rPr>
        <w:t>(FormUpdateMethod), e.EpcObservation);</w:t>
      </w:r>
    </w:p>
    <w:p w:rsidR="00A12276" w:rsidRDefault="00A12276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A12276" w:rsidRDefault="00A12276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12276" w:rsidRDefault="00A12276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FormUpdateMethod(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EpcObservation</w:t>
      </w:r>
      <w:r>
        <w:rPr>
          <w:rFonts w:ascii="Courier New" w:hAnsi="Courier New" w:cs="Courier New"/>
          <w:noProof/>
          <w:sz w:val="20"/>
          <w:szCs w:val="20"/>
        </w:rPr>
        <w:t xml:space="preserve"> epcObservation)</w:t>
      </w:r>
    </w:p>
    <w:p w:rsidR="00A12276" w:rsidRDefault="00A12276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12276" w:rsidRDefault="00A12276" w:rsidP="00A1227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lbInventoryItemsList.Items.Add(epcObservation.EpcCode.HexString);</w:t>
      </w:r>
    </w:p>
    <w:p w:rsidR="00A12276" w:rsidRDefault="00A12276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E85F65" w:rsidRDefault="00E85F65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</w:p>
    <w:p w:rsidR="00A12276" w:rsidRDefault="00CB1159" w:rsidP="00E85F65">
      <w:pPr>
        <w:jc w:val="both"/>
      </w:pPr>
      <w:r>
        <w:t>When</w:t>
      </w:r>
      <w:r w:rsidR="00E85F65">
        <w:t xml:space="preserve"> reading is finished,</w:t>
      </w:r>
      <w:r>
        <w:t xml:space="preserve"> the code should</w:t>
      </w:r>
      <w:r w:rsidR="00E85F65">
        <w:t xml:space="preserve"> unsubscribe from event stop inventory call should be made</w:t>
      </w:r>
      <w:r>
        <w:t>:</w:t>
      </w:r>
    </w:p>
    <w:p w:rsidR="00E85F65" w:rsidRDefault="00E85F65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…</w:t>
      </w:r>
    </w:p>
    <w:p w:rsidR="00A12276" w:rsidRDefault="00A12276" w:rsidP="00A12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Program</w:t>
      </w:r>
      <w:r>
        <w:rPr>
          <w:rFonts w:ascii="Courier New" w:hAnsi="Courier New" w:cs="Courier New"/>
          <w:noProof/>
          <w:sz w:val="20"/>
          <w:szCs w:val="20"/>
        </w:rPr>
        <w:t xml:space="preserve">.Controller.Facade.OnReadRfidTag -=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System.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EventHandler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ReadRfidTagEventArgs</w:t>
      </w:r>
      <w:r>
        <w:rPr>
          <w:rFonts w:ascii="Courier New" w:hAnsi="Courier New" w:cs="Courier New"/>
          <w:noProof/>
          <w:sz w:val="20"/>
          <w:szCs w:val="20"/>
        </w:rPr>
        <w:t>&gt;(facade_OnReadRfidTag);</w:t>
      </w:r>
    </w:p>
    <w:p w:rsidR="00AD2651" w:rsidRDefault="00A12276" w:rsidP="00952DB9">
      <w:r>
        <w:rPr>
          <w:rFonts w:ascii="Courier New" w:hAnsi="Courier New" w:cs="Courier New"/>
          <w:noProof/>
          <w:color w:val="2B91AF"/>
          <w:sz w:val="20"/>
          <w:szCs w:val="20"/>
        </w:rPr>
        <w:t>Program</w:t>
      </w:r>
      <w:r>
        <w:rPr>
          <w:rFonts w:ascii="Courier New" w:hAnsi="Courier New" w:cs="Courier New"/>
          <w:noProof/>
          <w:sz w:val="20"/>
          <w:szCs w:val="20"/>
        </w:rPr>
        <w:t>.Controller.Facade.HandheldStop();</w:t>
      </w:r>
      <w:r w:rsidR="00E85F65">
        <w:rPr>
          <w:rFonts w:ascii="Courier New" w:hAnsi="Courier New" w:cs="Courier New"/>
          <w:noProof/>
          <w:sz w:val="20"/>
          <w:szCs w:val="20"/>
        </w:rPr>
        <w:br/>
      </w:r>
      <w:r w:rsidR="00E85F65">
        <w:rPr>
          <w:rFonts w:ascii="Courier New" w:hAnsi="Courier New" w:cs="Courier New"/>
          <w:noProof/>
          <w:color w:val="2B91AF"/>
          <w:sz w:val="20"/>
          <w:szCs w:val="20"/>
        </w:rPr>
        <w:t>…</w:t>
      </w:r>
    </w:p>
    <w:p w:rsidR="004C2550" w:rsidRDefault="00CB1159" w:rsidP="00CB0425">
      <w:pPr>
        <w:jc w:val="both"/>
        <w:rPr>
          <w:noProof/>
        </w:rPr>
      </w:pPr>
      <w:r>
        <w:rPr>
          <w:noProof/>
        </w:rPr>
        <w:t xml:space="preserve">On applicaiotn exit, a </w:t>
      </w:r>
      <w:r w:rsidR="00952DB9">
        <w:rPr>
          <w:noProof/>
        </w:rPr>
        <w:t>dispose</w:t>
      </w:r>
      <w:r w:rsidR="008D57C1">
        <w:rPr>
          <w:noProof/>
        </w:rPr>
        <w:t xml:space="preserve"> of classes used for</w:t>
      </w:r>
      <w:r>
        <w:rPr>
          <w:noProof/>
        </w:rPr>
        <w:t xml:space="preserve"> interaction should be done in this order:</w:t>
      </w:r>
    </w:p>
    <w:p w:rsidR="008D57C1" w:rsidRDefault="008D57C1" w:rsidP="008D57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Dispose()</w:t>
      </w:r>
    </w:p>
    <w:p w:rsidR="008D57C1" w:rsidRDefault="008D57C1" w:rsidP="008D57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8D57C1" w:rsidRDefault="008D57C1" w:rsidP="00CB1159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(Session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8D57C1" w:rsidRDefault="008D57C1" w:rsidP="00CB1159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8D57C1" w:rsidRDefault="008D57C1" w:rsidP="00CB115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Facade.Dispose();</w:t>
      </w:r>
    </w:p>
    <w:p w:rsidR="008D57C1" w:rsidRDefault="008D57C1" w:rsidP="00CB115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Port.Dispose();</w:t>
      </w:r>
    </w:p>
    <w:p w:rsidR="008D57C1" w:rsidRDefault="008D57C1" w:rsidP="00CB115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Session.Dispose();</w:t>
      </w:r>
    </w:p>
    <w:p w:rsidR="008D57C1" w:rsidRDefault="008D57C1" w:rsidP="00CB1159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8D57C1" w:rsidRDefault="008D57C1" w:rsidP="008D57C1">
      <w:pPr>
        <w:jc w:val="both"/>
        <w:rPr>
          <w:noProof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4C2550" w:rsidRPr="006D1487" w:rsidRDefault="004C2550" w:rsidP="00CB0425">
      <w:pPr>
        <w:jc w:val="both"/>
        <w:rPr>
          <w:noProof/>
        </w:rPr>
      </w:pPr>
      <w:r>
        <w:rPr>
          <w:noProof/>
        </w:rPr>
        <w:t xml:space="preserve">This sums up basic information and code examples </w:t>
      </w:r>
      <w:r w:rsidR="00CB1159">
        <w:rPr>
          <w:noProof/>
        </w:rPr>
        <w:t>for beginning development with</w:t>
      </w:r>
      <w:r>
        <w:rPr>
          <w:noProof/>
        </w:rPr>
        <w:t xml:space="preserve"> this API.</w:t>
      </w:r>
      <w:r w:rsidR="00670AE8">
        <w:rPr>
          <w:noProof/>
        </w:rPr>
        <w:t xml:space="preserve"> More details can be found in an example application (RetailDemoApp).</w:t>
      </w:r>
    </w:p>
    <w:sectPr w:rsidR="004C2550" w:rsidRPr="006D1487" w:rsidSect="00C71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C5D41"/>
    <w:multiLevelType w:val="hybridMultilevel"/>
    <w:tmpl w:val="D1C8879E"/>
    <w:lvl w:ilvl="0" w:tplc="A46419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16326"/>
    <w:multiLevelType w:val="hybridMultilevel"/>
    <w:tmpl w:val="C6CCF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A2B01"/>
    <w:multiLevelType w:val="hybridMultilevel"/>
    <w:tmpl w:val="3AD8F24A"/>
    <w:lvl w:ilvl="0" w:tplc="A46419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56EB3"/>
    <w:multiLevelType w:val="hybridMultilevel"/>
    <w:tmpl w:val="B358C714"/>
    <w:lvl w:ilvl="0" w:tplc="A46419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E0B85"/>
    <w:multiLevelType w:val="hybridMultilevel"/>
    <w:tmpl w:val="4FC6F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65659"/>
    <w:multiLevelType w:val="hybridMultilevel"/>
    <w:tmpl w:val="B358C714"/>
    <w:lvl w:ilvl="0" w:tplc="A46419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B1596A"/>
    <w:multiLevelType w:val="hybridMultilevel"/>
    <w:tmpl w:val="2006F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E39A4"/>
    <w:multiLevelType w:val="hybridMultilevel"/>
    <w:tmpl w:val="48FA1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E11E30"/>
    <w:multiLevelType w:val="hybridMultilevel"/>
    <w:tmpl w:val="B98A7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A138E"/>
    <w:multiLevelType w:val="hybridMultilevel"/>
    <w:tmpl w:val="F87A0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963BC"/>
    <w:multiLevelType w:val="hybridMultilevel"/>
    <w:tmpl w:val="46ACAF52"/>
    <w:lvl w:ilvl="0" w:tplc="A46419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04D"/>
    <w:rsid w:val="000574A2"/>
    <w:rsid w:val="00073A6C"/>
    <w:rsid w:val="000F5472"/>
    <w:rsid w:val="0013589D"/>
    <w:rsid w:val="00145098"/>
    <w:rsid w:val="001A2C7E"/>
    <w:rsid w:val="0020108D"/>
    <w:rsid w:val="00247FE8"/>
    <w:rsid w:val="002A4DBD"/>
    <w:rsid w:val="002D1280"/>
    <w:rsid w:val="00314052"/>
    <w:rsid w:val="003E03D4"/>
    <w:rsid w:val="00400290"/>
    <w:rsid w:val="004063DF"/>
    <w:rsid w:val="00412C19"/>
    <w:rsid w:val="00451397"/>
    <w:rsid w:val="004C2550"/>
    <w:rsid w:val="004D762D"/>
    <w:rsid w:val="0050656A"/>
    <w:rsid w:val="005650DC"/>
    <w:rsid w:val="0056792D"/>
    <w:rsid w:val="0059348C"/>
    <w:rsid w:val="005C180B"/>
    <w:rsid w:val="0060393F"/>
    <w:rsid w:val="00624A08"/>
    <w:rsid w:val="00670AE8"/>
    <w:rsid w:val="006C3053"/>
    <w:rsid w:val="006D1487"/>
    <w:rsid w:val="00737638"/>
    <w:rsid w:val="007423ED"/>
    <w:rsid w:val="007525CD"/>
    <w:rsid w:val="007C6FB1"/>
    <w:rsid w:val="007D2910"/>
    <w:rsid w:val="00856682"/>
    <w:rsid w:val="0086613A"/>
    <w:rsid w:val="00884B2C"/>
    <w:rsid w:val="00892584"/>
    <w:rsid w:val="008C0DC3"/>
    <w:rsid w:val="008D57C1"/>
    <w:rsid w:val="00914F81"/>
    <w:rsid w:val="00952DB9"/>
    <w:rsid w:val="00982AF8"/>
    <w:rsid w:val="00983EA7"/>
    <w:rsid w:val="00A12276"/>
    <w:rsid w:val="00AC1B30"/>
    <w:rsid w:val="00AD204D"/>
    <w:rsid w:val="00AD2651"/>
    <w:rsid w:val="00AD6CC4"/>
    <w:rsid w:val="00AD7267"/>
    <w:rsid w:val="00B31CBA"/>
    <w:rsid w:val="00B564EA"/>
    <w:rsid w:val="00BB6278"/>
    <w:rsid w:val="00C04912"/>
    <w:rsid w:val="00C71808"/>
    <w:rsid w:val="00CB0425"/>
    <w:rsid w:val="00CB1159"/>
    <w:rsid w:val="00CE2462"/>
    <w:rsid w:val="00D60226"/>
    <w:rsid w:val="00D60A6D"/>
    <w:rsid w:val="00D81652"/>
    <w:rsid w:val="00D86F4C"/>
    <w:rsid w:val="00DB739C"/>
    <w:rsid w:val="00E01344"/>
    <w:rsid w:val="00E10BF6"/>
    <w:rsid w:val="00E30198"/>
    <w:rsid w:val="00E31A35"/>
    <w:rsid w:val="00E85F65"/>
    <w:rsid w:val="00F2417E"/>
    <w:rsid w:val="00F31869"/>
    <w:rsid w:val="00F31C10"/>
    <w:rsid w:val="00F37C0E"/>
    <w:rsid w:val="00F82026"/>
    <w:rsid w:val="00FC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3A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20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2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sid w:val="00AD204D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AD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D204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D20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3A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BB6278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1358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58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66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3A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20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2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sid w:val="00AD204D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AD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D204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D20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3A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BB6278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1358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58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6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32feet.codeplex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FE8B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F0713-59DE-4023-83E9-983AF081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Matija Gobec</dc:creator>
  <cp:lastModifiedBy>Sasa Cegar</cp:lastModifiedBy>
  <cp:revision>6</cp:revision>
  <cp:lastPrinted>2011-06-14T10:38:00Z</cp:lastPrinted>
  <dcterms:created xsi:type="dcterms:W3CDTF">2011-06-14T10:24:00Z</dcterms:created>
  <dcterms:modified xsi:type="dcterms:W3CDTF">2011-06-14T10:39:00Z</dcterms:modified>
</cp:coreProperties>
</file>